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C48202" w14:textId="77777777" w:rsidR="0005130B" w:rsidRDefault="0005130B">
      <w:pPr>
        <w:pBdr>
          <w:top w:val="nil"/>
          <w:left w:val="nil"/>
          <w:bottom w:val="nil"/>
          <w:right w:val="nil"/>
          <w:between w:val="nil"/>
        </w:pBdr>
        <w:spacing w:after="240" w:line="275" w:lineRule="auto"/>
        <w:rPr>
          <w:color w:val="000000"/>
        </w:rPr>
      </w:pPr>
    </w:p>
    <w:p w14:paraId="16C48203" w14:textId="77777777" w:rsidR="0005130B" w:rsidRDefault="00000000">
      <w:pPr>
        <w:pStyle w:val="Heading1"/>
        <w:spacing w:before="0" w:after="120" w:line="275" w:lineRule="auto"/>
        <w:rPr>
          <w:rFonts w:ascii="Google Sans" w:eastAsia="Google Sans" w:hAnsi="Google Sans" w:cs="Google Sans"/>
          <w:color w:val="1B1C1D"/>
        </w:rPr>
      </w:pPr>
      <w:r>
        <w:rPr>
          <w:rFonts w:ascii="Google Sans" w:eastAsia="Google Sans" w:hAnsi="Google Sans" w:cs="Google Sans"/>
          <w:color w:val="1B1C1D"/>
        </w:rPr>
        <w:t>Navigating the Algorithmic Frontier: A Global Regulatory Analysis of AI/ML in Financial Services</w:t>
      </w:r>
    </w:p>
    <w:p w14:paraId="16C48205" w14:textId="77777777" w:rsidR="0005130B" w:rsidRDefault="0005130B">
      <w:pPr>
        <w:pBdr>
          <w:top w:val="nil"/>
          <w:left w:val="nil"/>
          <w:bottom w:val="nil"/>
          <w:right w:val="nil"/>
          <w:between w:val="nil"/>
        </w:pBdr>
        <w:spacing w:after="240" w:line="275" w:lineRule="auto"/>
        <w:rPr>
          <w:rFonts w:ascii="Google Sans" w:eastAsia="Google Sans" w:hAnsi="Google Sans" w:cs="Google Sans"/>
          <w:color w:val="1B1C1D"/>
        </w:rPr>
      </w:pPr>
    </w:p>
    <w:p w14:paraId="16C48206" w14:textId="77777777" w:rsidR="0005130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Executive Summary</w:t>
      </w:r>
    </w:p>
    <w:p w14:paraId="16C48208"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proliferation of Artificial Intelligence and Machine Learning (AI/ML) systems is fundamentally reshaping the global financial services industry, unlocking unprecedented efficiencies in areas from credit underwriting and fraud detection to risk management and customer engagement. This technological transformation, however, is occurring within an increasingly complex and divergent global regulatory landscape. Financial institutions now face the critical challenge of harnessing AI's potential while navigating a patchwork of new and adapted regulations designed to manage its profound risks.</w:t>
      </w:r>
    </w:p>
    <w:p w14:paraId="16C48209"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report provides an exhaustive analysis of the current and emerging global regulatory frameworks governing AI/ML in finance, focusing on the core pillars of operational resilience, model risk management, and bias mitigation. The analysis reveals a significant transatlantic divergence in regulatory philosophy. The European Union is pioneering a prescriptive, dual-regulation approach, combining the comprehensive Information and Communication Technology (ICT) risk management mandates of the Digital Operational Resilience Act (DORA) with the world's first horizontal, risk-based AI-specific legislation, the EU AI Act. This creates a formidable, process-oriented compliance regime for firms operating within the Union.</w:t>
      </w:r>
    </w:p>
    <w:p w14:paraId="16C4820A"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contrast, the United States, United Kingdom, and key Asia-Pacific financial hubs like Singapore are pursuing a more principles-based, accountability-focused path. These jurisdictions are adapting existing, technology-neutral frameworks—such as the U.S. Federal Reserve's seminal SR 11-7 guidance on model risk management and the UK's Senior Managers and Certification Regime (SMCR)—to the unique challenges posed by AI. This approach emphasizes outcomes over prescribed processes, placing the onus on firms and their senior leadership to demonstrate that their governance structures can effectively manage AI-related risks and ensure fair outcomes for consumers.</w:t>
      </w:r>
    </w:p>
    <w:p w14:paraId="16C4820B"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For multinational financial institutions, this divergence invalidates a "one-size-fits-all" global AI governance strategy. It necessitates the development of a sophisticated, adaptable global framework—a "federalized" model with a common set of core principles complemented by region-specific controls and procedures. This report deconstructs the key regulations, analyzes their practical implications, and provides a comparative analysis to equip senior risk, </w:t>
      </w:r>
      <w:r>
        <w:rPr>
          <w:rFonts w:ascii="Google Sans Text" w:eastAsia="Google Sans Text" w:hAnsi="Google Sans Text" w:cs="Google Sans Text"/>
          <w:color w:val="1B1C1D"/>
        </w:rPr>
        <w:lastRenderedPageBreak/>
        <w:t>compliance, and legal executives with the strategic understanding required to navigate this new algorithmic frontier responsibly and competitively.</w:t>
      </w:r>
    </w:p>
    <w:p w14:paraId="16C4820C" w14:textId="77777777" w:rsidR="0005130B"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16C4832B">
          <v:rect id="_x0000_i1025" style="width:0;height:1.5pt" o:hralign="center" o:hrstd="t" o:hr="t" fillcolor="#a0a0a0" stroked="f"/>
        </w:pict>
      </w:r>
    </w:p>
    <w:p w14:paraId="16C4820D" w14:textId="77777777" w:rsidR="0005130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Section 1: The Foundational Pillars of AI/ML Regulation in Finance</w:t>
      </w:r>
    </w:p>
    <w:p w14:paraId="16C4820F"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Before the advent of AI-specific legislation, a set of robust, technology-neutral regulatory frameworks was already in place, forming the bedrock of financial supervision. These established pillars, conceived prior to the current AI boom, are now being actively adapted and applied by regulators to govern the novel risks introduced by AI/ML systems. Their enduring relevance lies in their principles-based nature, which allows them to address the fundamental risks of complex systems regardless of the underlying technology.</w:t>
      </w:r>
    </w:p>
    <w:p w14:paraId="16C48210"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11" w14:textId="77777777" w:rsidR="0005130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1.1. The U.S. Model Risk Management Doctrine: SR 11-7 as a Blueprint for AI Governance</w:t>
      </w:r>
    </w:p>
    <w:p w14:paraId="16C48213"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Issued in 2011 by the Federal Reserve and the Office of the Comptroller of the Currency (OCC), the "Supervisory Guidance on Model Risk Management," known as SR 11-7, stands as the foundational text for model governance in the United States and a de facto global benchmark.</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Its remarkable longevity and continued applicability to the most advanced AI/ML systems stem from its intentionally broad and principles-based design.</w:t>
      </w:r>
    </w:p>
    <w:p w14:paraId="16C48214"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15"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Core Principles of SR 11-7</w:t>
      </w:r>
    </w:p>
    <w:p w14:paraId="16C48217"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SR 11-7 defines a "model" as "a quantitative method, system, or approach that applies statistical, economic, financial, or mathematical theories, techniques, and assumptions to process input data into quantitative estimates".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B1C1D"/>
        </w:rPr>
        <w:t xml:space="preserve"> This expansive definition deliberately avoids tying the guidance to any specific technology. Consequently, whether a system is a simple linear regression or a complex deep neural network, if it meets this functional definition, it falls under the purview of SR 11-7. This inherent flexibility is the key to its durability; regulators are not rushing to replace it but are instead actively applying its principles to the latest generation of AI, including generative AI.</w:t>
      </w:r>
      <w:r>
        <w:rPr>
          <w:rFonts w:ascii="Google Sans Text" w:eastAsia="Google Sans Text" w:hAnsi="Google Sans Text" w:cs="Google Sans Text"/>
          <w:color w:val="444746"/>
          <w:sz w:val="24"/>
          <w:szCs w:val="24"/>
          <w:vertAlign w:val="superscript"/>
        </w:rPr>
        <w:t>3</w:t>
      </w:r>
    </w:p>
    <w:p w14:paraId="16C48218"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guidance is built upon three core tenets:</w:t>
      </w:r>
    </w:p>
    <w:p w14:paraId="16C48219" w14:textId="77777777" w:rsidR="0005130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Robust Model Development, Implementation, and Use:</w:t>
      </w:r>
      <w:r>
        <w:rPr>
          <w:rFonts w:ascii="Google Sans Text" w:eastAsia="Google Sans Text" w:hAnsi="Google Sans Text" w:cs="Google Sans Text"/>
          <w:color w:val="1B1C1D"/>
        </w:rPr>
        <w:t xml:space="preserve"> This requires a disciplined process that includes a clear statement of purpose, sound design and theory, rigorous assessment of data quality, and comprehensive testing.</w:t>
      </w:r>
      <w:r>
        <w:rPr>
          <w:rFonts w:ascii="Google Sans Text" w:eastAsia="Google Sans Text" w:hAnsi="Google Sans Text" w:cs="Google Sans Text"/>
          <w:color w:val="444746"/>
          <w:sz w:val="24"/>
          <w:szCs w:val="24"/>
          <w:vertAlign w:val="superscript"/>
        </w:rPr>
        <w:t>2</w:t>
      </w:r>
    </w:p>
    <w:p w14:paraId="16C4821A" w14:textId="77777777" w:rsidR="0005130B"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color w:val="1B1C1D"/>
        </w:rPr>
        <w:t>Effective Validation:</w:t>
      </w:r>
      <w:r>
        <w:rPr>
          <w:rFonts w:ascii="Google Sans Text" w:eastAsia="Google Sans Text" w:hAnsi="Google Sans Text" w:cs="Google Sans Text"/>
          <w:color w:val="1B1C1D"/>
        </w:rPr>
        <w:t xml:space="preserve"> This is the set of processes intended to verify that models are </w:t>
      </w:r>
      <w:r>
        <w:rPr>
          <w:rFonts w:ascii="Google Sans Text" w:eastAsia="Google Sans Text" w:hAnsi="Google Sans Text" w:cs="Google Sans Text"/>
          <w:color w:val="1B1C1D"/>
        </w:rPr>
        <w:lastRenderedPageBreak/>
        <w:t>performing as expected and are suitable for their intended use. It is a critical, ongoing process.</w:t>
      </w:r>
      <w:r>
        <w:rPr>
          <w:rFonts w:ascii="Google Sans Text" w:eastAsia="Google Sans Text" w:hAnsi="Google Sans Text" w:cs="Google Sans Text"/>
          <w:color w:val="444746"/>
          <w:sz w:val="24"/>
          <w:szCs w:val="24"/>
          <w:vertAlign w:val="superscript"/>
        </w:rPr>
        <w:t>5</w:t>
      </w:r>
    </w:p>
    <w:p w14:paraId="16C4821B" w14:textId="77777777" w:rsidR="0005130B"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color w:val="1B1C1D"/>
        </w:rPr>
        <w:t>Sound Governance, Policies, and Controls:</w:t>
      </w:r>
      <w:r>
        <w:rPr>
          <w:rFonts w:ascii="Google Sans Text" w:eastAsia="Google Sans Text" w:hAnsi="Google Sans Text" w:cs="Google Sans Text"/>
          <w:color w:val="1B1C1D"/>
        </w:rPr>
        <w:t xml:space="preserve"> This establishes the organizational framework, including board and senior management oversight, policies, procedures, and controls to manage model risk across the enterprise.</w:t>
      </w:r>
      <w:r>
        <w:rPr>
          <w:rFonts w:ascii="Google Sans Text" w:eastAsia="Google Sans Text" w:hAnsi="Google Sans Text" w:cs="Google Sans Text"/>
          <w:color w:val="444746"/>
          <w:sz w:val="24"/>
          <w:szCs w:val="24"/>
          <w:vertAlign w:val="superscript"/>
        </w:rPr>
        <w:t>2</w:t>
      </w:r>
    </w:p>
    <w:p w14:paraId="16C4821C" w14:textId="77777777" w:rsidR="0005130B" w:rsidRDefault="0005130B">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16C4821D"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"Effective Challenge" Mandate</w:t>
      </w:r>
    </w:p>
    <w:p w14:paraId="16C4821F"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cornerstone of SR 11-7 is the principle of "effective challenge," defined as a "critical analysis by objective, informed parties that can identify model limitations and produce appropriate changes".</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B1C1D"/>
        </w:rPr>
        <w:t xml:space="preserve"> This mandate requires a culture of rigorous, independent review throughout the model lifecycle. In the context of AI/ML, this principle becomes exponentially more critical and challenging to implement. The inherent complexity and potential opacity of many "black box" algorithms make it difficult for reviewers to fully understand and challenge the model's internal logic, its assumptions, and its potential failure modes. Fulfilling the "effective challenge" mandate for AI therefore requires financial institutions to invest in new, specialized skill sets—blending data science, risk management, and domain expertise—and to establish governance structures that empower independent validation functions to meaningfully question and, if necessary, halt the deployment of unsound models.</w:t>
      </w:r>
    </w:p>
    <w:p w14:paraId="16C48220"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21"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Validation Lifecycle for AI/ML</w:t>
      </w:r>
    </w:p>
    <w:p w14:paraId="16C48223"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SR 11-7 outlines a comprehensive validation lifecycle that maps directly to the unique risks of AI/ML systems. Key elements include:</w:t>
      </w:r>
    </w:p>
    <w:p w14:paraId="16C48224" w14:textId="77777777" w:rsidR="0005130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Evaluation of Conceptual Soundness:</w:t>
      </w:r>
      <w:r>
        <w:rPr>
          <w:rFonts w:ascii="Google Sans Text" w:eastAsia="Google Sans Text" w:hAnsi="Google Sans Text" w:cs="Google Sans Text"/>
          <w:color w:val="1B1C1D"/>
        </w:rPr>
        <w:t xml:space="preserve"> This involves assessing the quality of the model's design, theory, and construction.</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B1C1D"/>
        </w:rPr>
        <w:t xml:space="preserve"> For traditional models, this might involve reviewing established statistical literature. For a novel AI model, it requires a deep dive into the algorithmic architecture, the appropriateness of the chosen technique for the business problem, and the justification for its design choices—a significant challenge for non-intuitive deep learning models.</w:t>
      </w:r>
    </w:p>
    <w:p w14:paraId="16C48225" w14:textId="77777777" w:rsidR="0005130B"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color w:val="1B1C1D"/>
        </w:rPr>
        <w:t>Ongoing Monitoring:</w:t>
      </w:r>
      <w:r>
        <w:rPr>
          <w:rFonts w:ascii="Google Sans Text" w:eastAsia="Google Sans Text" w:hAnsi="Google Sans Text" w:cs="Google Sans Text"/>
          <w:color w:val="1B1C1D"/>
        </w:rPr>
        <w:t xml:space="preserve"> The guidance mandates ongoing monitoring to "confirm that the model is appropriately implemented and is being used and performing as intended".</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B1C1D"/>
        </w:rPr>
        <w:t xml:space="preserve"> This requirement provides a direct and powerful regulatory hook for managing one of the most critical operational risks of AI: </w:t>
      </w:r>
      <w:r>
        <w:rPr>
          <w:rFonts w:ascii="Google Sans Text" w:eastAsia="Google Sans Text" w:hAnsi="Google Sans Text" w:cs="Google Sans Text"/>
          <w:b/>
          <w:color w:val="1B1C1D"/>
        </w:rPr>
        <w:t>model drift</w:t>
      </w:r>
      <w:r>
        <w:rPr>
          <w:rFonts w:ascii="Google Sans Text" w:eastAsia="Google Sans Text" w:hAnsi="Google Sans Text" w:cs="Google Sans Text"/>
          <w:color w:val="1B1C1D"/>
        </w:rPr>
        <w:t>. Model drift occurs when a model's predictive power degrades over time as the statistical properties of the input data change, diverging from the data on which it was trained. Under SR 11-7, firms must have processes in place to detect this degradation and to trigger model recalibration, redevelopment, or retirement, ensuring the model remains robust and reliable in a dynamic environment.</w:t>
      </w:r>
      <w:r>
        <w:rPr>
          <w:rFonts w:ascii="Google Sans Text" w:eastAsia="Google Sans Text" w:hAnsi="Google Sans Text" w:cs="Google Sans Text"/>
          <w:color w:val="444746"/>
          <w:sz w:val="24"/>
          <w:szCs w:val="24"/>
          <w:vertAlign w:val="superscript"/>
        </w:rPr>
        <w:t>3</w:t>
      </w:r>
    </w:p>
    <w:p w14:paraId="16C48226" w14:textId="77777777" w:rsidR="0005130B"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color w:val="1B1C1D"/>
        </w:rPr>
        <w:t>Outcomes Analysis (Back-testing):</w:t>
      </w:r>
      <w:r>
        <w:rPr>
          <w:rFonts w:ascii="Google Sans Text" w:eastAsia="Google Sans Text" w:hAnsi="Google Sans Text" w:cs="Google Sans Text"/>
          <w:color w:val="1B1C1D"/>
        </w:rPr>
        <w:t xml:space="preserve"> This involves comparing model outputs to </w:t>
      </w:r>
      <w:r>
        <w:rPr>
          <w:rFonts w:ascii="Google Sans Text" w:eastAsia="Google Sans Text" w:hAnsi="Google Sans Text" w:cs="Google Sans Text"/>
          <w:color w:val="1B1C1D"/>
        </w:rPr>
        <w:lastRenderedPageBreak/>
        <w:t>corresponding actual outcomes.</w:t>
      </w:r>
      <w:r>
        <w:rPr>
          <w:rFonts w:ascii="Google Sans Text" w:eastAsia="Google Sans Text" w:hAnsi="Google Sans Text" w:cs="Google Sans Text"/>
          <w:color w:val="444746"/>
          <w:sz w:val="24"/>
          <w:szCs w:val="24"/>
          <w:vertAlign w:val="superscript"/>
        </w:rPr>
        <w:t>2</w:t>
      </w:r>
      <w:r>
        <w:rPr>
          <w:rFonts w:ascii="Google Sans Text" w:eastAsia="Google Sans Text" w:hAnsi="Google Sans Text" w:cs="Google Sans Text"/>
          <w:color w:val="1B1C1D"/>
        </w:rPr>
        <w:t xml:space="preserve"> This is a crucial step for assessing the performance of any model, but for AI systems used in areas like credit decisioning, it is also a primary tool for evaluating fairness and detecting potential bias. Systematically analyzing outcomes across different demographic groups can reveal discriminatory patterns that may not have been apparent during development.</w:t>
      </w:r>
    </w:p>
    <w:p w14:paraId="16C48227" w14:textId="77777777" w:rsidR="0005130B"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enduring strength of SR 11-7 demonstrates a core tenet of the U.S. regulatory philosophy: relying on a durable, principles-based foundation and adapting its interpretation as technology evolves, rather than creating new, technology-specific laws that could quickly become obsolete. For financial institutions, the compliance burden is therefore not about learning a new </w:t>
      </w:r>
      <w:proofErr w:type="gramStart"/>
      <w:r>
        <w:rPr>
          <w:rFonts w:ascii="Google Sans Text" w:eastAsia="Google Sans Text" w:hAnsi="Google Sans Text" w:cs="Google Sans Text"/>
          <w:color w:val="1B1C1D"/>
        </w:rPr>
        <w:t>rulebook, but</w:t>
      </w:r>
      <w:proofErr w:type="gramEnd"/>
      <w:r>
        <w:rPr>
          <w:rFonts w:ascii="Google Sans Text" w:eastAsia="Google Sans Text" w:hAnsi="Google Sans Text" w:cs="Google Sans Text"/>
          <w:color w:val="1B1C1D"/>
        </w:rPr>
        <w:t xml:space="preserve"> about demonstrating to examiners how their existing Model Risk Management (MRM) frameworks have been meaningfully enhanced to govern the unique risks of AI, such as data bias, drift, opacity, and fairness. This necessitates a significant investment in specialized talent and sophisticated governance processes, representing a profound challenge of application and interpretation.</w:t>
      </w:r>
    </w:p>
    <w:p w14:paraId="16C48228"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29" w14:textId="77777777" w:rsidR="0005130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1.2. The EU's Digital Fortress: DORA and ICT Operational Resilience</w:t>
      </w:r>
    </w:p>
    <w:p w14:paraId="16C4822B"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European Union's Digital Operational Resilience Act (DORA), which became applicable on January 17, 2025, represents a paradigm shift in the regulation of technology risk in finance.</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B1C1D"/>
        </w:rPr>
        <w:t xml:space="preserve"> While not an AI-specific regulation, DORA is a comprehensive, horizontal framework for Information and Communication Technology (ICT) risk management that implicitly and powerfully governs the use of all AI/ML systems within financial entities.</w:t>
      </w:r>
    </w:p>
    <w:p w14:paraId="16C4822C"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2D"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DORA's Core Mandate</w:t>
      </w:r>
    </w:p>
    <w:p w14:paraId="16C4822F"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Historically, financial regulation addressed operational risk primarily through the allocation of capital buffers.</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B1C1D"/>
        </w:rPr>
        <w:t xml:space="preserve"> DORA fundamentally changes this approach by recognizing that capital alone cannot ensure the continuity of critical financial services in the face of a severe ICT disruption.</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B1C1D"/>
        </w:rPr>
        <w:t xml:space="preserve"> The regulation establishes legally binding, uniform requirements across the EU financial sector, built on five core pillars </w:t>
      </w:r>
      <w:r>
        <w:rPr>
          <w:rFonts w:ascii="Google Sans Text" w:eastAsia="Google Sans Text" w:hAnsi="Google Sans Text" w:cs="Google Sans Text"/>
          <w:color w:val="444746"/>
          <w:sz w:val="24"/>
          <w:szCs w:val="24"/>
          <w:vertAlign w:val="superscript"/>
        </w:rPr>
        <w:t>8</w:t>
      </w:r>
      <w:r>
        <w:rPr>
          <w:rFonts w:ascii="Google Sans Text" w:eastAsia="Google Sans Text" w:hAnsi="Google Sans Text" w:cs="Google Sans Text"/>
          <w:color w:val="1B1C1D"/>
        </w:rPr>
        <w:t>:</w:t>
      </w:r>
    </w:p>
    <w:p w14:paraId="16C48230" w14:textId="77777777" w:rsidR="0005130B"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ICT Risk Management:</w:t>
      </w:r>
      <w:r>
        <w:rPr>
          <w:rFonts w:ascii="Google Sans Text" w:eastAsia="Google Sans Text" w:hAnsi="Google Sans Text" w:cs="Google Sans Text"/>
          <w:color w:val="1B1C1D"/>
        </w:rPr>
        <w:t xml:space="preserve"> Establishing a comprehensive and well-documented ICT risk management framework.</w:t>
      </w:r>
    </w:p>
    <w:p w14:paraId="16C48231" w14:textId="77777777" w:rsidR="0005130B"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ICT-Related Incident Management and Reporting:</w:t>
      </w:r>
      <w:r>
        <w:rPr>
          <w:rFonts w:ascii="Google Sans Text" w:eastAsia="Google Sans Text" w:hAnsi="Google Sans Text" w:cs="Google Sans Text"/>
          <w:color w:val="1B1C1D"/>
        </w:rPr>
        <w:t xml:space="preserve"> Implementing processes to detect, manage, and report major ICT-related incidents to authorities.</w:t>
      </w:r>
    </w:p>
    <w:p w14:paraId="16C48232" w14:textId="77777777" w:rsidR="0005130B"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Digital Operational Resilience Testing:</w:t>
      </w:r>
      <w:r>
        <w:rPr>
          <w:rFonts w:ascii="Google Sans Text" w:eastAsia="Google Sans Text" w:hAnsi="Google Sans Text" w:cs="Google Sans Text"/>
          <w:color w:val="1B1C1D"/>
        </w:rPr>
        <w:t xml:space="preserve"> Regularly testing ICT systems and applications to assess their resilience.</w:t>
      </w:r>
    </w:p>
    <w:p w14:paraId="16C48233" w14:textId="77777777" w:rsidR="0005130B"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color w:val="1B1C1D"/>
        </w:rPr>
        <w:t>ICT Third-Party Risk Management:</w:t>
      </w:r>
      <w:r>
        <w:rPr>
          <w:rFonts w:ascii="Google Sans Text" w:eastAsia="Google Sans Text" w:hAnsi="Google Sans Text" w:cs="Google Sans Text"/>
          <w:color w:val="1B1C1D"/>
        </w:rPr>
        <w:t xml:space="preserve"> Actively managing the risks posed by ICT third-party service providers.</w:t>
      </w:r>
    </w:p>
    <w:p w14:paraId="16C48234" w14:textId="77777777" w:rsidR="0005130B"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color w:val="1B1C1D"/>
        </w:rPr>
        <w:t>Information and Intelligence Sharing:</w:t>
      </w:r>
      <w:r>
        <w:rPr>
          <w:rFonts w:ascii="Google Sans Text" w:eastAsia="Google Sans Text" w:hAnsi="Google Sans Text" w:cs="Google Sans Text"/>
          <w:color w:val="1B1C1D"/>
        </w:rPr>
        <w:t xml:space="preserve"> Participating in arrangements for sharing </w:t>
      </w:r>
      <w:r>
        <w:rPr>
          <w:rFonts w:ascii="Google Sans Text" w:eastAsia="Google Sans Text" w:hAnsi="Google Sans Text" w:cs="Google Sans Text"/>
          <w:color w:val="1B1C1D"/>
        </w:rPr>
        <w:lastRenderedPageBreak/>
        <w:t>information on cyber threats.</w:t>
      </w:r>
    </w:p>
    <w:p w14:paraId="16C48235" w14:textId="77777777" w:rsidR="0005130B" w:rsidRDefault="0005130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16C48236"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AI Systems as Critical ICT Assets</w:t>
      </w:r>
    </w:p>
    <w:p w14:paraId="16C48238"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Under DORA, AI/ML platforms and the infrastructure they run on are unequivocally treated as ICT systems. Financial entities are therefore required to incorporate them fully into their ICT risk management framework. This involves mapping their ICT systems, identifying and classifying critical assets (including AI models that support critical functions), documenting dependencies, conducting continuous risk assessments, and performing business impact analyses to understand how severe disruptions to these systems could affect business operations.</w:t>
      </w:r>
      <w:r>
        <w:rPr>
          <w:rFonts w:ascii="Google Sans Text" w:eastAsia="Google Sans Text" w:hAnsi="Google Sans Text" w:cs="Google Sans Text"/>
          <w:color w:val="444746"/>
          <w:sz w:val="24"/>
          <w:szCs w:val="24"/>
          <w:vertAlign w:val="superscript"/>
        </w:rPr>
        <w:t>10</w:t>
      </w:r>
    </w:p>
    <w:p w14:paraId="16C48239"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16C4823A"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Managing Model Drift as an Operational Threat</w:t>
      </w:r>
    </w:p>
    <w:p w14:paraId="16C4823C"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DORA's mandates for continuous monitoring and advanced resilience testing, such as Threat-Led Penetration Testing (TLPT) for critical systems, provide the primary regulatory mechanism for managing </w:t>
      </w:r>
      <w:r>
        <w:rPr>
          <w:rFonts w:ascii="Google Sans Text" w:eastAsia="Google Sans Text" w:hAnsi="Google Sans Text" w:cs="Google Sans Text"/>
          <w:b/>
          <w:color w:val="1B1C1D"/>
        </w:rPr>
        <w:t>model drift</w:t>
      </w:r>
      <w:r>
        <w:rPr>
          <w:rFonts w:ascii="Google Sans Text" w:eastAsia="Google Sans Text" w:hAnsi="Google Sans Text" w:cs="Google Sans Text"/>
          <w:color w:val="1B1C1D"/>
        </w:rPr>
        <w:t xml:space="preserve"> from an operational resilience perspective.</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B1C1D"/>
        </w:rPr>
        <w:t xml:space="preserve"> From a DORA standpoint, an AI model whose performance is degrading due to drift is not merely a statistical issue; it is a potential ICT incident that threatens the stability and continuity of a critical business function like fraud detection or credit underwriting. This degradation must be detected, managed, and remediated within the firm's ICT risk framework, and if it leads to a major disruption, it could become a reportable incident under DORA's stringent reporting timelines.</w:t>
      </w:r>
      <w:r>
        <w:rPr>
          <w:rFonts w:ascii="Google Sans Text" w:eastAsia="Google Sans Text" w:hAnsi="Google Sans Text" w:cs="Google Sans Text"/>
          <w:color w:val="444746"/>
          <w:sz w:val="24"/>
          <w:szCs w:val="24"/>
          <w:vertAlign w:val="superscript"/>
        </w:rPr>
        <w:t>13</w:t>
      </w:r>
    </w:p>
    <w:p w14:paraId="16C4823D"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16C4823E"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Third-Party Risk Management for the AI Ecosystem</w:t>
      </w:r>
    </w:p>
    <w:p w14:paraId="16C48240"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DORA places unprecedented emphasis on the oversight of ICT third-party service providers, a provision with profound implications for the AI ecosystem, where firms frequently rely on external vendors for cloud computing, data, and specialized AI models.</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B1C1D"/>
        </w:rPr>
        <w:t xml:space="preserve"> The regulation requires firms to maintain a detailed "Register of Information" for all contractual arrangements with ICT third-party providers.</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B1C1D"/>
        </w:rPr>
        <w:t xml:space="preserve"> Crucially, DORA also establishes a direct EU-level oversight framework for "Critical Third-Party Providers" (CTPPs), a designation likely to include major cloud service providers that are foundational to the AI industry.</w:t>
      </w:r>
      <w:r>
        <w:rPr>
          <w:rFonts w:ascii="Google Sans Text" w:eastAsia="Google Sans Text" w:hAnsi="Google Sans Text" w:cs="Google Sans Text"/>
          <w:color w:val="444746"/>
          <w:sz w:val="24"/>
          <w:szCs w:val="24"/>
          <w:vertAlign w:val="superscript"/>
        </w:rPr>
        <w:t>11</w:t>
      </w:r>
      <w:r>
        <w:rPr>
          <w:rFonts w:ascii="Google Sans Text" w:eastAsia="Google Sans Text" w:hAnsi="Google Sans Text" w:cs="Google Sans Text"/>
          <w:color w:val="1B1C1D"/>
        </w:rPr>
        <w:t xml:space="preserve"> Financial entities must ensure their contracts with these providers contain DORA-aligned clauses covering audit rights, security standards, clear service level agreements, and comprehensive exit strategies to avoid vendor lock-in.</w:t>
      </w:r>
      <w:r>
        <w:rPr>
          <w:rFonts w:ascii="Google Sans Text" w:eastAsia="Google Sans Text" w:hAnsi="Google Sans Text" w:cs="Google Sans Text"/>
          <w:color w:val="444746"/>
          <w:sz w:val="24"/>
          <w:szCs w:val="24"/>
          <w:vertAlign w:val="superscript"/>
        </w:rPr>
        <w:t>11</w:t>
      </w:r>
    </w:p>
    <w:p w14:paraId="16C48241"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implementation of DORA requires financial institutions to bridge a critical conceptual gap. The regulation's text is focused on "ICT systems," "network security," and "cyber threats," with no mention of "AI," "models," or "algorithms".</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B1C1D"/>
        </w:rPr>
        <w:t xml:space="preserve"> However, every AI/ML system is </w:t>
      </w:r>
      <w:r>
        <w:rPr>
          <w:rFonts w:ascii="Google Sans Text" w:eastAsia="Google Sans Text" w:hAnsi="Google Sans Text" w:cs="Google Sans Text"/>
          <w:color w:val="1B1C1D"/>
        </w:rPr>
        <w:lastRenderedPageBreak/>
        <w:t>fundamentally an ICT asset. Therefore, to ensure compliance, firms must learn to translate AI-specific risks into the established lexicon of ICT risk management. For instance, "algorithmic bias" that leads to discriminatory outcomes, regulatory fines, and reputational damage must be classified and managed as an ICT-related operational risk event. "Model drift" that causes erratic system behavior and disrupts a business process must be treated as an ICT service degradation. A successful adversarial attack that manipulates an AI model's output is a cybersecurity incident. This translation necessitates a unified governance structure where data scientists, model risk managers, ICT risk officers, and legal teams collaborate to map AI vulnerabilities to DORA's control objectives. Operating AI governance and DORA compliance programs in separate silos will inevitably lead to critical compliance gaps and a dangerous underestimation of the firm's true operational risk profile.</w:t>
      </w:r>
    </w:p>
    <w:p w14:paraId="16C48242"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43" w14:textId="77777777" w:rsidR="0005130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1.3. The Prudential Backstop: Basel III and the Capital Implications of AI Operational Risk</w:t>
      </w:r>
    </w:p>
    <w:p w14:paraId="16C48245"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Basel III framework, the global prudential standard for banks, does not contain explicit rules for AI. Instead, it addresses AI/ML through the established lens of operational risk, treating it not as a new category of risk but as a powerful amplifier of existing ones.</w:t>
      </w:r>
      <w:r>
        <w:rPr>
          <w:rFonts w:ascii="Google Sans Text" w:eastAsia="Google Sans Text" w:hAnsi="Google Sans Text" w:cs="Google Sans Text"/>
          <w:color w:val="444746"/>
          <w:sz w:val="24"/>
          <w:szCs w:val="24"/>
          <w:vertAlign w:val="superscript"/>
        </w:rPr>
        <w:t>14</w:t>
      </w:r>
      <w:r>
        <w:rPr>
          <w:rFonts w:ascii="Google Sans Text" w:eastAsia="Google Sans Text" w:hAnsi="Google Sans Text" w:cs="Google Sans Text"/>
          <w:color w:val="1B1C1D"/>
        </w:rPr>
        <w:t xml:space="preserve"> The increasing adoption of AI introduces novel and complex failure modes that fall squarely within the Basel definition of operational risk: "the risk of loss resulting from inadequate or failed internal processes, people and systems or from external events."</w:t>
      </w:r>
    </w:p>
    <w:p w14:paraId="16C48246"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47"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AI as a Driver of Operational Risk</w:t>
      </w:r>
    </w:p>
    <w:p w14:paraId="16C48249"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Basel Committee on Banking Supervision (BCBS) has explicitly acknowledged that the use of AI can heighten certain risks and challenges.</w:t>
      </w:r>
      <w:r>
        <w:rPr>
          <w:rFonts w:ascii="Google Sans Text" w:eastAsia="Google Sans Text" w:hAnsi="Google Sans Text" w:cs="Google Sans Text"/>
          <w:color w:val="444746"/>
          <w:sz w:val="24"/>
          <w:szCs w:val="24"/>
          <w:vertAlign w:val="superscript"/>
        </w:rPr>
        <w:t>15</w:t>
      </w:r>
      <w:r>
        <w:rPr>
          <w:rFonts w:ascii="Google Sans Text" w:eastAsia="Google Sans Text" w:hAnsi="Google Sans Text" w:cs="Google Sans Text"/>
          <w:color w:val="1B1C1D"/>
        </w:rPr>
        <w:t xml:space="preserve"> These include:</w:t>
      </w:r>
    </w:p>
    <w:p w14:paraId="16C4824A" w14:textId="77777777" w:rsidR="0005130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Technology and Process Risks:</w:t>
      </w:r>
      <w:r>
        <w:rPr>
          <w:rFonts w:ascii="Google Sans Text" w:eastAsia="Google Sans Text" w:hAnsi="Google Sans Text" w:cs="Google Sans Text"/>
          <w:color w:val="1B1C1D"/>
        </w:rPr>
        <w:t xml:space="preserve"> AI systems can introduce new technological risks, such as model failures, poor data quality, and algorithmic bias. The high degree of automation can also enhance process risks, where a single AI system failure can simultaneously affect multiple business lines with an amplified impact.</w:t>
      </w:r>
      <w:r>
        <w:rPr>
          <w:rFonts w:ascii="Google Sans Text" w:eastAsia="Google Sans Text" w:hAnsi="Google Sans Text" w:cs="Google Sans Text"/>
          <w:color w:val="444746"/>
          <w:sz w:val="24"/>
          <w:szCs w:val="24"/>
          <w:vertAlign w:val="superscript"/>
        </w:rPr>
        <w:t>14</w:t>
      </w:r>
    </w:p>
    <w:p w14:paraId="16C4824B" w14:textId="77777777" w:rsidR="0005130B"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color w:val="1B1C1D"/>
        </w:rPr>
        <w:t>Amplification and Interconnectedness:</w:t>
      </w:r>
      <w:r>
        <w:rPr>
          <w:rFonts w:ascii="Google Sans Text" w:eastAsia="Google Sans Text" w:hAnsi="Google Sans Text" w:cs="Google Sans Text"/>
          <w:color w:val="1B1C1D"/>
        </w:rPr>
        <w:t xml:space="preserve"> AI failures can affect a vast number of transactions or customers simultaneously, creating a potential for losses that far exceeds traditional operational risk scenarios. Furthermore, because AI systems are often integrated with multiple business processes, they create risks of cascading failures that span traditional risk boundaries.</w:t>
      </w:r>
      <w:r>
        <w:rPr>
          <w:rFonts w:ascii="Google Sans Text" w:eastAsia="Google Sans Text" w:hAnsi="Google Sans Text" w:cs="Google Sans Text"/>
          <w:color w:val="444746"/>
          <w:sz w:val="24"/>
          <w:szCs w:val="24"/>
          <w:vertAlign w:val="superscript"/>
        </w:rPr>
        <w:t>14</w:t>
      </w:r>
    </w:p>
    <w:p w14:paraId="16C4824C" w14:textId="77777777" w:rsidR="0005130B"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color w:val="1B1C1D"/>
        </w:rPr>
        <w:t>Ethical and Legal Risks:</w:t>
      </w:r>
      <w:r>
        <w:rPr>
          <w:rFonts w:ascii="Google Sans Text" w:eastAsia="Google Sans Text" w:hAnsi="Google Sans Text" w:cs="Google Sans Text"/>
          <w:color w:val="1B1C1D"/>
        </w:rPr>
        <w:t xml:space="preserve"> As noted by supervisors like the German Bundesbank, ethical issues such as bias can become drivers of operational and business model risk.</w:t>
      </w:r>
      <w:r>
        <w:rPr>
          <w:rFonts w:ascii="Google Sans Text" w:eastAsia="Google Sans Text" w:hAnsi="Google Sans Text" w:cs="Google Sans Text"/>
          <w:color w:val="444746"/>
          <w:sz w:val="24"/>
          <w:szCs w:val="24"/>
          <w:vertAlign w:val="superscript"/>
        </w:rPr>
        <w:t>18</w:t>
      </w:r>
      <w:r>
        <w:rPr>
          <w:rFonts w:ascii="Google Sans Text" w:eastAsia="Google Sans Text" w:hAnsi="Google Sans Text" w:cs="Google Sans Text"/>
          <w:color w:val="1B1C1D"/>
        </w:rPr>
        <w:t xml:space="preserve"> An AI model that produces discriminatory lending decisions can lead to significant legal costs, regulatory fines, and severe reputational damage, all of which are quantifiable operational losses.</w:t>
      </w:r>
    </w:p>
    <w:p w14:paraId="16C4824D" w14:textId="77777777" w:rsidR="0005130B" w:rsidRDefault="0005130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16C4824E"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Impact on Regulatory Capital Calculations: The Monetization of AI Failure</w:t>
      </w:r>
    </w:p>
    <w:p w14:paraId="16C48250"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The most direct and powerful connection between AI risk and the Basel framework lies in the calculation of operational risk regulatory capital. The "Basel III endgame" reforms finalize the move to a single, non-model-based method for this calculation: the Standardized Measurement Approach (SMA).</w:t>
      </w:r>
      <w:r>
        <w:rPr>
          <w:rFonts w:ascii="Google Sans Text" w:eastAsia="Google Sans Text" w:hAnsi="Google Sans Text" w:cs="Google Sans Text"/>
          <w:color w:val="444746"/>
          <w:sz w:val="24"/>
          <w:szCs w:val="24"/>
          <w:vertAlign w:val="superscript"/>
        </w:rPr>
        <w:t>19</w:t>
      </w:r>
      <w:r>
        <w:rPr>
          <w:rFonts w:ascii="Google Sans Text" w:eastAsia="Google Sans Text" w:hAnsi="Google Sans Text" w:cs="Google Sans Text"/>
          <w:color w:val="1B1C1D"/>
        </w:rPr>
        <w:t xml:space="preserve"> A key component of the SMA is the </w:t>
      </w:r>
      <w:r>
        <w:rPr>
          <w:rFonts w:ascii="Google Sans Text" w:eastAsia="Google Sans Text" w:hAnsi="Google Sans Text" w:cs="Google Sans Text"/>
          <w:b/>
          <w:color w:val="1B1C1D"/>
        </w:rPr>
        <w:t>Internal Loss Multiplier (ILM)</w:t>
      </w:r>
      <w:r>
        <w:rPr>
          <w:rFonts w:ascii="Google Sans Text" w:eastAsia="Google Sans Text" w:hAnsi="Google Sans Text" w:cs="Google Sans Text"/>
          <w:color w:val="1B1C1D"/>
        </w:rPr>
        <w:t>, a factor that adjusts a bank's operational risk capital requirement based on its historical operational loss experience.</w:t>
      </w:r>
      <w:r>
        <w:rPr>
          <w:rFonts w:ascii="Google Sans Text" w:eastAsia="Google Sans Text" w:hAnsi="Google Sans Text" w:cs="Google Sans Text"/>
          <w:color w:val="444746"/>
          <w:sz w:val="24"/>
          <w:szCs w:val="24"/>
          <w:vertAlign w:val="superscript"/>
        </w:rPr>
        <w:t>19</w:t>
      </w:r>
    </w:p>
    <w:p w14:paraId="16C48251"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 xml:space="preserve">This mechanism creates a direct and unavoidable financial feedback loop that effectively monetizes AI model failures. Any financial loss that a bank incurs </w:t>
      </w:r>
      <w:proofErr w:type="gramStart"/>
      <w:r>
        <w:rPr>
          <w:rFonts w:ascii="Google Sans Text" w:eastAsia="Google Sans Text" w:hAnsi="Google Sans Text" w:cs="Google Sans Text"/>
          <w:color w:val="1B1C1D"/>
        </w:rPr>
        <w:t>as a result of</w:t>
      </w:r>
      <w:proofErr w:type="gramEnd"/>
      <w:r>
        <w:rPr>
          <w:rFonts w:ascii="Google Sans Text" w:eastAsia="Google Sans Text" w:hAnsi="Google Sans Text" w:cs="Google Sans Text"/>
          <w:color w:val="1B1C1D"/>
        </w:rPr>
        <w:t xml:space="preserve"> an AI system—whether from a trading algorithm error, a fine for a biased credit model, or customer remediation costs from a faulty chatbot—must be recorded as part of the bank's internal operational loss data. This data is then used to calculate the ILM. A significant AI-related loss will increase the ILM, which in turn formulaically increases the </w:t>
      </w:r>
      <w:proofErr w:type="gramStart"/>
      <w:r>
        <w:rPr>
          <w:rFonts w:ascii="Google Sans Text" w:eastAsia="Google Sans Text" w:hAnsi="Google Sans Text" w:cs="Google Sans Text"/>
          <w:color w:val="1B1C1D"/>
        </w:rPr>
        <w:t>bank's</w:t>
      </w:r>
      <w:proofErr w:type="gramEnd"/>
      <w:r>
        <w:rPr>
          <w:rFonts w:ascii="Google Sans Text" w:eastAsia="Google Sans Text" w:hAnsi="Google Sans Text" w:cs="Google Sans Text"/>
          <w:color w:val="1B1C1D"/>
        </w:rPr>
        <w:t xml:space="preserve"> overall required operational risk capital.</w:t>
      </w:r>
      <w:r>
        <w:rPr>
          <w:rFonts w:ascii="Google Sans Text" w:eastAsia="Google Sans Text" w:hAnsi="Google Sans Text" w:cs="Google Sans Text"/>
          <w:color w:val="444746"/>
          <w:sz w:val="24"/>
          <w:szCs w:val="24"/>
          <w:vertAlign w:val="superscript"/>
        </w:rPr>
        <w:t>19</w:t>
      </w:r>
    </w:p>
    <w:p w14:paraId="16C48252"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transforms the internal conversation around AI governance. Previously, the risks of a biased model might have been framed in abstract terms of ethics or reputation. Under the Basel III framework, the argument becomes quantitative and prudential. The Chief Risk Officer can now demonstrate to the board of directors that investing in enhanced AI validation, robust bias detection tools, and rigorous governance is not merely a compliance cost but a direct lever for managing and potentially reducing the bank's capital requirements. The Basel framework thus provides the ultimate prudential backstop for AI risk, elevating its governance from a niche compliance exercise to a core component of capital management and financial stability. This gives risk and compliance functions significant leverage to demand the necessary resources and enforce rigorous standards for AI development and deployment across the entire enterprise.</w:t>
      </w:r>
    </w:p>
    <w:p w14:paraId="16C48253" w14:textId="77777777" w:rsidR="0005130B"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16C4832C">
          <v:rect id="_x0000_i1026" style="width:0;height:1.5pt" o:hralign="center" o:hrstd="t" o:hr="t" fillcolor="#a0a0a0" stroked="f"/>
        </w:pict>
      </w:r>
    </w:p>
    <w:p w14:paraId="16C48254" w14:textId="77777777" w:rsidR="0005130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Section 2: The New Frontier of AI-Specific Legislation</w:t>
      </w:r>
    </w:p>
    <w:p w14:paraId="16C48256"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While existing financial regulations provide a foundational layer of oversight, a new wave of legislation is emerging globally that moves beyond adapting old frameworks and instead targets the unique characteristics of AI technology directly. This new frontier is defined by a proactive, and in some cases highly prescriptive, approach to governing the entire lifecycle of AI systems, with the European Union leading the charge.</w:t>
      </w:r>
    </w:p>
    <w:p w14:paraId="16C48257"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8381841" w14:textId="77777777" w:rsidR="000F465D" w:rsidRDefault="000F465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58" w14:textId="77777777" w:rsidR="0005130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2.1. The EU AI Act: A Comprehensive, Risk-Based Framework for the Financial Sector</w:t>
      </w:r>
    </w:p>
    <w:p w14:paraId="16C4825A"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EU AI Act, which entered into force on August 1, 2024, with a phased implementation over the following 24-36 months, is the world's first comprehensive, horizontal law regulating artificial intelligence.</w:t>
      </w:r>
      <w:r>
        <w:rPr>
          <w:rFonts w:ascii="Google Sans Text" w:eastAsia="Google Sans Text" w:hAnsi="Google Sans Text" w:cs="Google Sans Text"/>
          <w:color w:val="444746"/>
          <w:sz w:val="24"/>
          <w:szCs w:val="24"/>
          <w:vertAlign w:val="superscript"/>
        </w:rPr>
        <w:t>21</w:t>
      </w:r>
      <w:r>
        <w:rPr>
          <w:rFonts w:ascii="Google Sans Text" w:eastAsia="Google Sans Text" w:hAnsi="Google Sans Text" w:cs="Google Sans Text"/>
          <w:color w:val="1B1C1D"/>
        </w:rPr>
        <w:t xml:space="preserve"> Unlike the sector-specific regulations previously discussed, the AI Act establishes a cross-sectoral framework that classifies AI systems according to their level of risk, imposing obligations commensurate with that risk.</w:t>
      </w:r>
      <w:r>
        <w:rPr>
          <w:rFonts w:ascii="Google Sans Text" w:eastAsia="Google Sans Text" w:hAnsi="Google Sans Text" w:cs="Google Sans Text"/>
          <w:color w:val="444746"/>
          <w:sz w:val="24"/>
          <w:szCs w:val="24"/>
          <w:vertAlign w:val="superscript"/>
        </w:rPr>
        <w:t>23</w:t>
      </w:r>
      <w:r>
        <w:rPr>
          <w:rFonts w:ascii="Google Sans Text" w:eastAsia="Google Sans Text" w:hAnsi="Google Sans Text" w:cs="Google Sans Text"/>
          <w:color w:val="1B1C1D"/>
        </w:rPr>
        <w:t xml:space="preserve"> This risk-based approach is structured as a pyramid </w:t>
      </w:r>
      <w:r>
        <w:rPr>
          <w:rFonts w:ascii="Google Sans Text" w:eastAsia="Google Sans Text" w:hAnsi="Google Sans Text" w:cs="Google Sans Text"/>
          <w:color w:val="444746"/>
          <w:sz w:val="24"/>
          <w:szCs w:val="24"/>
          <w:vertAlign w:val="superscript"/>
        </w:rPr>
        <w:t>25</w:t>
      </w:r>
      <w:r>
        <w:rPr>
          <w:rFonts w:ascii="Google Sans Text" w:eastAsia="Google Sans Text" w:hAnsi="Google Sans Text" w:cs="Google Sans Text"/>
          <w:color w:val="1B1C1D"/>
        </w:rPr>
        <w:t>:</w:t>
      </w:r>
    </w:p>
    <w:p w14:paraId="16C4825B" w14:textId="77777777" w:rsidR="0005130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Unacceptable Risk:</w:t>
      </w:r>
      <w:r>
        <w:rPr>
          <w:rFonts w:ascii="Google Sans Text" w:eastAsia="Google Sans Text" w:hAnsi="Google Sans Text" w:cs="Google Sans Text"/>
          <w:color w:val="1B1C1D"/>
        </w:rPr>
        <w:t xml:space="preserve"> A narrow category of AI practices deemed a clear threat to fundamental rights are banned outright. This includes systems for social scoring by public authorities and manipulative techniques that exploit vulnerabilities.</w:t>
      </w:r>
      <w:r>
        <w:rPr>
          <w:rFonts w:ascii="Google Sans Text" w:eastAsia="Google Sans Text" w:hAnsi="Google Sans Text" w:cs="Google Sans Text"/>
          <w:color w:val="444746"/>
          <w:sz w:val="24"/>
          <w:szCs w:val="24"/>
          <w:vertAlign w:val="superscript"/>
        </w:rPr>
        <w:t>25</w:t>
      </w:r>
    </w:p>
    <w:p w14:paraId="16C4825C" w14:textId="77777777" w:rsidR="0005130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High-Risk:</w:t>
      </w:r>
      <w:r>
        <w:rPr>
          <w:rFonts w:ascii="Google Sans Text" w:eastAsia="Google Sans Text" w:hAnsi="Google Sans Text" w:cs="Google Sans Text"/>
          <w:color w:val="1B1C1D"/>
        </w:rPr>
        <w:t xml:space="preserve"> AI systems that can have a significant impact on people's safety or fundamental rights are subject to a stringent set of legal requirements.</w:t>
      </w:r>
    </w:p>
    <w:p w14:paraId="16C4825D" w14:textId="77777777" w:rsidR="0005130B"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color w:val="1B1C1D"/>
        </w:rPr>
        <w:t>Limited Risk:</w:t>
      </w:r>
      <w:r>
        <w:rPr>
          <w:rFonts w:ascii="Google Sans Text" w:eastAsia="Google Sans Text" w:hAnsi="Google Sans Text" w:cs="Google Sans Text"/>
          <w:color w:val="1B1C1D"/>
        </w:rPr>
        <w:t xml:space="preserve"> Systems such as chatbots are subject to lighter transparency obligations, requiring that users are aware they are interacting with an AI.</w:t>
      </w:r>
      <w:r>
        <w:rPr>
          <w:rFonts w:ascii="Google Sans Text" w:eastAsia="Google Sans Text" w:hAnsi="Google Sans Text" w:cs="Google Sans Text"/>
          <w:color w:val="444746"/>
          <w:sz w:val="24"/>
          <w:szCs w:val="24"/>
          <w:vertAlign w:val="superscript"/>
        </w:rPr>
        <w:t>25</w:t>
      </w:r>
    </w:p>
    <w:p w14:paraId="16C4825E" w14:textId="77777777" w:rsidR="0005130B"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color w:val="1B1C1D"/>
        </w:rPr>
        <w:t>Minimal Risk:</w:t>
      </w:r>
      <w:r>
        <w:rPr>
          <w:rFonts w:ascii="Google Sans Text" w:eastAsia="Google Sans Text" w:hAnsi="Google Sans Text" w:cs="Google Sans Text"/>
          <w:color w:val="1B1C1D"/>
        </w:rPr>
        <w:t xml:space="preserve"> </w:t>
      </w:r>
      <w:proofErr w:type="gramStart"/>
      <w:r>
        <w:rPr>
          <w:rFonts w:ascii="Google Sans Text" w:eastAsia="Google Sans Text" w:hAnsi="Google Sans Text" w:cs="Google Sans Text"/>
          <w:color w:val="1B1C1D"/>
        </w:rPr>
        <w:t>The vast majority of</w:t>
      </w:r>
      <w:proofErr w:type="gramEnd"/>
      <w:r>
        <w:rPr>
          <w:rFonts w:ascii="Google Sans Text" w:eastAsia="Google Sans Text" w:hAnsi="Google Sans Text" w:cs="Google Sans Text"/>
          <w:color w:val="1B1C1D"/>
        </w:rPr>
        <w:t xml:space="preserve"> AI systems fall into this category and are largely unregulated.</w:t>
      </w:r>
    </w:p>
    <w:p w14:paraId="16C4825F" w14:textId="77777777" w:rsidR="0005130B" w:rsidRDefault="0005130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16C48260"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Financial Services as 'High-Risk'</w:t>
      </w:r>
    </w:p>
    <w:p w14:paraId="16C48262"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For the financial services industry, the most critical aspect of the AI Act is the designation of several key use cases as "high-risk" under Annex III of the regulation. This classification is a trigger for a cascade of demanding compliance obligations. The high-risk financial use cases explicitly include AI systems intended for </w:t>
      </w:r>
      <w:r>
        <w:rPr>
          <w:rFonts w:ascii="Google Sans Text" w:eastAsia="Google Sans Text" w:hAnsi="Google Sans Text" w:cs="Google Sans Text"/>
          <w:color w:val="444746"/>
          <w:sz w:val="24"/>
          <w:szCs w:val="24"/>
          <w:vertAlign w:val="superscript"/>
        </w:rPr>
        <w:t>25</w:t>
      </w:r>
      <w:r>
        <w:rPr>
          <w:rFonts w:ascii="Google Sans Text" w:eastAsia="Google Sans Text" w:hAnsi="Google Sans Text" w:cs="Google Sans Text"/>
          <w:color w:val="1B1C1D"/>
        </w:rPr>
        <w:t>:</w:t>
      </w:r>
    </w:p>
    <w:p w14:paraId="16C48263" w14:textId="77777777" w:rsidR="0005130B"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color w:val="1B1C1D"/>
        </w:rPr>
        <w:t>Evaluating the creditworthiness of natural persons or establishing their credit score</w:t>
      </w:r>
      <w:r>
        <w:rPr>
          <w:rFonts w:ascii="Google Sans Text" w:eastAsia="Google Sans Text" w:hAnsi="Google Sans Text" w:cs="Google Sans Text"/>
          <w:color w:val="1B1C1D"/>
        </w:rPr>
        <w:t>, with an exception for systems used purely for detecting financial fraud.</w:t>
      </w:r>
    </w:p>
    <w:p w14:paraId="16C48264" w14:textId="77777777" w:rsidR="0005130B"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color w:val="1B1C1D"/>
        </w:rPr>
        <w:t>Risk assessment and pricing in relation to natural persons for life and health insurance.</w:t>
      </w:r>
    </w:p>
    <w:p w14:paraId="16C48265" w14:textId="77777777" w:rsidR="0005130B"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This means that the core AI applications used in retail banking and insurance for underwriting and pricing are now subject to one of the most rigorous AI regulatory regimes in the world.</w:t>
      </w:r>
    </w:p>
    <w:p w14:paraId="16C48266"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67"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Lifecycle Obligations for High-Risk Systems</w:t>
      </w:r>
    </w:p>
    <w:p w14:paraId="16C48269"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Providers (developers) and deployers (users) of these high-risk AI systems must comply with a detailed set of requirements that span the entire lifecycle of the system, from conception to post-market monitoring. These obligations include </w:t>
      </w:r>
      <w:r>
        <w:rPr>
          <w:rFonts w:ascii="Google Sans Text" w:eastAsia="Google Sans Text" w:hAnsi="Google Sans Text" w:cs="Google Sans Text"/>
          <w:color w:val="444746"/>
          <w:sz w:val="24"/>
          <w:szCs w:val="24"/>
          <w:vertAlign w:val="superscript"/>
        </w:rPr>
        <w:t>23</w:t>
      </w:r>
      <w:r>
        <w:rPr>
          <w:rFonts w:ascii="Google Sans Text" w:eastAsia="Google Sans Text" w:hAnsi="Google Sans Text" w:cs="Google Sans Text"/>
          <w:color w:val="1B1C1D"/>
        </w:rPr>
        <w:t>:</w:t>
      </w:r>
    </w:p>
    <w:p w14:paraId="16C4826A" w14:textId="77777777" w:rsidR="0005130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Establishing a Risk Management System:</w:t>
      </w:r>
      <w:r>
        <w:rPr>
          <w:rFonts w:ascii="Google Sans Text" w:eastAsia="Google Sans Text" w:hAnsi="Google Sans Text" w:cs="Google Sans Text"/>
          <w:color w:val="1B1C1D"/>
        </w:rPr>
        <w:t xml:space="preserve"> A continuous, iterative process must be implemented to identify, analyze, evaluate, and mitigate the risks posed by the AI system </w:t>
      </w:r>
      <w:r>
        <w:rPr>
          <w:rFonts w:ascii="Google Sans Text" w:eastAsia="Google Sans Text" w:hAnsi="Google Sans Text" w:cs="Google Sans Text"/>
          <w:color w:val="1B1C1D"/>
        </w:rPr>
        <w:lastRenderedPageBreak/>
        <w:t>throughout its lifecycle.</w:t>
      </w:r>
    </w:p>
    <w:p w14:paraId="16C4826B" w14:textId="77777777" w:rsidR="0005130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Data and Data Governance:</w:t>
      </w:r>
      <w:r>
        <w:rPr>
          <w:rFonts w:ascii="Google Sans Text" w:eastAsia="Google Sans Text" w:hAnsi="Google Sans Text" w:cs="Google Sans Text"/>
          <w:color w:val="1B1C1D"/>
        </w:rPr>
        <w:t xml:space="preserve"> This is one of the most significant requirements. Training, validation, and testing datasets must be "relevant, representative, free of errors and complete." Crucially, they must be subject to appropriate governance practices to examine for, and mitigate, possible biases that could lead to discriminatory outcomes.</w:t>
      </w:r>
    </w:p>
    <w:p w14:paraId="16C4826C" w14:textId="77777777" w:rsidR="0005130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Technical Documentation and Record-Keeping:</w:t>
      </w:r>
      <w:r>
        <w:rPr>
          <w:rFonts w:ascii="Google Sans Text" w:eastAsia="Google Sans Text" w:hAnsi="Google Sans Text" w:cs="Google Sans Text"/>
          <w:color w:val="1B1C1D"/>
        </w:rPr>
        <w:t xml:space="preserve"> Extensive technical documentation must be created before the system is placed on the market, detailing its capabilities, limitations, and the design choices made. Systems must also have the capacity for automatic event logging to ensure a level of traceability of their operation.</w:t>
      </w:r>
    </w:p>
    <w:p w14:paraId="16C4826D" w14:textId="77777777" w:rsidR="0005130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Transparency and Provision of Information to Users:</w:t>
      </w:r>
      <w:r>
        <w:rPr>
          <w:rFonts w:ascii="Google Sans Text" w:eastAsia="Google Sans Text" w:hAnsi="Google Sans Text" w:cs="Google Sans Text"/>
          <w:color w:val="1B1C1D"/>
        </w:rPr>
        <w:t xml:space="preserve"> Deployers must be provided with clear instructions for use, allowing them to understand the system's capabilities and limitations and to interpret its outputs correctly.</w:t>
      </w:r>
    </w:p>
    <w:p w14:paraId="16C4826E" w14:textId="77777777" w:rsidR="0005130B"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color w:val="1B1C1D"/>
        </w:rPr>
        <w:t>Human Oversight:</w:t>
      </w:r>
      <w:r>
        <w:rPr>
          <w:rFonts w:ascii="Google Sans Text" w:eastAsia="Google Sans Text" w:hAnsi="Google Sans Text" w:cs="Google Sans Text"/>
          <w:color w:val="1B1C1D"/>
        </w:rPr>
        <w:t xml:space="preserve"> High-risk systems must be designed and developed in such a way that they can be effectively overseen by humans. This includes implementing measures to allow a human to intervene, disregard, or reverse the output of the system.</w:t>
      </w:r>
    </w:p>
    <w:p w14:paraId="16C4826F" w14:textId="77777777" w:rsidR="0005130B"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color w:val="1B1C1D"/>
        </w:rPr>
        <w:t>Accuracy, Robustness, and Cybersecurity:</w:t>
      </w:r>
      <w:r>
        <w:rPr>
          <w:rFonts w:ascii="Google Sans Text" w:eastAsia="Google Sans Text" w:hAnsi="Google Sans Text" w:cs="Google Sans Text"/>
          <w:color w:val="1B1C1D"/>
        </w:rPr>
        <w:t xml:space="preserve"> Systems must achieve an appropriate level of accuracy, be resilient against errors or inconsistencies, and be secure against attempts to alter their use or performance by malicious third parties.</w:t>
      </w:r>
    </w:p>
    <w:p w14:paraId="16C48270" w14:textId="77777777" w:rsidR="0005130B" w:rsidRDefault="0005130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16C48271"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Enforcement and Governance</w:t>
      </w:r>
    </w:p>
    <w:p w14:paraId="16C48273"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AI Act designates the national competent authorities responsible for supervising the financial sector as the primary enforcers of its provisions for financial institutions.</w:t>
      </w:r>
      <w:r>
        <w:rPr>
          <w:rFonts w:ascii="Google Sans Text" w:eastAsia="Google Sans Text" w:hAnsi="Google Sans Text" w:cs="Google Sans Text"/>
          <w:color w:val="444746"/>
          <w:sz w:val="24"/>
          <w:szCs w:val="24"/>
          <w:vertAlign w:val="superscript"/>
        </w:rPr>
        <w:t>29</w:t>
      </w:r>
      <w:r>
        <w:rPr>
          <w:rFonts w:ascii="Google Sans Text" w:eastAsia="Google Sans Text" w:hAnsi="Google Sans Text" w:cs="Google Sans Text"/>
          <w:color w:val="1B1C1D"/>
        </w:rPr>
        <w:t xml:space="preserve"> This means that bodies like the European Banking Authority (EBA) and national central banks will integrate AI Act compliance into their regular supervisory activities, creating a new and powerful layer of scrutiny over firms' AI practices.</w:t>
      </w:r>
    </w:p>
    <w:p w14:paraId="16C48274"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For financial institutions in the EU, the AI Act and DORA create an emerging dual-track regulatory structure. A firm is now subject to two </w:t>
      </w:r>
      <w:proofErr w:type="gramStart"/>
      <w:r>
        <w:rPr>
          <w:rFonts w:ascii="Google Sans Text" w:eastAsia="Google Sans Text" w:hAnsi="Google Sans Text" w:cs="Google Sans Text"/>
          <w:color w:val="1B1C1D"/>
        </w:rPr>
        <w:t>major</w:t>
      </w:r>
      <w:proofErr w:type="gramEnd"/>
      <w:r>
        <w:rPr>
          <w:rFonts w:ascii="Google Sans Text" w:eastAsia="Google Sans Text" w:hAnsi="Google Sans Text" w:cs="Google Sans Text"/>
          <w:color w:val="1B1C1D"/>
        </w:rPr>
        <w:t xml:space="preserve">, and potentially overlapping, technology regulations. DORA governs the </w:t>
      </w:r>
      <w:r>
        <w:rPr>
          <w:rFonts w:ascii="Google Sans Text" w:eastAsia="Google Sans Text" w:hAnsi="Google Sans Text" w:cs="Google Sans Text"/>
          <w:i/>
          <w:color w:val="1B1C1D"/>
        </w:rPr>
        <w:t>operational resilience</w:t>
      </w:r>
      <w:r>
        <w:rPr>
          <w:rFonts w:ascii="Google Sans Text" w:eastAsia="Google Sans Text" w:hAnsi="Google Sans Text" w:cs="Google Sans Text"/>
          <w:color w:val="1B1C1D"/>
        </w:rPr>
        <w:t xml:space="preserve"> of the ICT infrastructure upon which an AI system runs </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B1C1D"/>
        </w:rPr>
        <w:t xml:space="preserve">, while the AI Act governs the </w:t>
      </w:r>
      <w:r>
        <w:rPr>
          <w:rFonts w:ascii="Google Sans Text" w:eastAsia="Google Sans Text" w:hAnsi="Google Sans Text" w:cs="Google Sans Text"/>
          <w:i/>
          <w:color w:val="1B1C1D"/>
        </w:rPr>
        <w:t>design, data, and intrinsic risk management</w:t>
      </w:r>
      <w:r>
        <w:rPr>
          <w:rFonts w:ascii="Google Sans Text" w:eastAsia="Google Sans Text" w:hAnsi="Google Sans Text" w:cs="Google Sans Text"/>
          <w:color w:val="1B1C1D"/>
        </w:rPr>
        <w:t xml:space="preserve"> of the AI model itself.</w:t>
      </w:r>
      <w:r>
        <w:rPr>
          <w:rFonts w:ascii="Google Sans Text" w:eastAsia="Google Sans Text" w:hAnsi="Google Sans Text" w:cs="Google Sans Text"/>
          <w:color w:val="444746"/>
          <w:sz w:val="24"/>
          <w:szCs w:val="24"/>
          <w:vertAlign w:val="superscript"/>
        </w:rPr>
        <w:t>25</w:t>
      </w:r>
      <w:r>
        <w:rPr>
          <w:rFonts w:ascii="Google Sans Text" w:eastAsia="Google Sans Text" w:hAnsi="Google Sans Text" w:cs="Google Sans Text"/>
          <w:color w:val="1B1C1D"/>
        </w:rPr>
        <w:t xml:space="preserve"> Both acts impose requirements for risk management and third-party oversight. A single cloud vendor could be classified as a "Critical ICT Provider" under DORA and simultaneously as a "provider" of a high-risk AI system under the AI Act. While the AI Act contains provisions intended to integrate with existing financial services governance rules to avoid duplication </w:t>
      </w:r>
      <w:r>
        <w:rPr>
          <w:rFonts w:ascii="Google Sans Text" w:eastAsia="Google Sans Text" w:hAnsi="Google Sans Text" w:cs="Google Sans Text"/>
          <w:color w:val="444746"/>
          <w:sz w:val="24"/>
          <w:szCs w:val="24"/>
          <w:vertAlign w:val="superscript"/>
        </w:rPr>
        <w:t>29</w:t>
      </w:r>
      <w:r>
        <w:rPr>
          <w:rFonts w:ascii="Google Sans Text" w:eastAsia="Google Sans Text" w:hAnsi="Google Sans Text" w:cs="Google Sans Text"/>
          <w:color w:val="1B1C1D"/>
        </w:rPr>
        <w:t>, the potential for conflicting requirements, duplicative reporting, and supervisory friction remains substantial. This presents a "dual compliance" challenge, requiring firms to build an integrated governance framework that satisfies both the ICT resilience lens of DORA and the model-centric, fundamental-rights lens of the AI Act. This represents a significant increase in the regulatory burden and complexity compared to other major jurisdictions.</w:t>
      </w:r>
    </w:p>
    <w:p w14:paraId="16C48275"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76" w14:textId="77777777" w:rsidR="0005130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2.2. The American Approach: Fostering Innovation Amidst Legislative Fragmentation</w:t>
      </w:r>
    </w:p>
    <w:p w14:paraId="16C48278"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In stark contrast to the EU's comprehensive, top-down legislative approach, the United States is pursuing a path characterized by a preference for leveraging existing legal frameworks, fostering innovation through controlled experimentation, and a fragmented landscape of federal proposals and state-level action.</w:t>
      </w:r>
      <w:r>
        <w:rPr>
          <w:rFonts w:ascii="Google Sans Text" w:eastAsia="Google Sans Text" w:hAnsi="Google Sans Text" w:cs="Google Sans Text"/>
          <w:color w:val="444746"/>
          <w:sz w:val="24"/>
          <w:szCs w:val="24"/>
          <w:vertAlign w:val="superscript"/>
        </w:rPr>
        <w:t>31</w:t>
      </w:r>
    </w:p>
    <w:p w14:paraId="16C48279"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16C4827A"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 Contrasting Philosophy</w:t>
      </w:r>
    </w:p>
    <w:p w14:paraId="16C4827C"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dominant philosophy in the U.S. is not to regulate the AI technology itself in a horizontal manner, but rather to regulate its application and address harms through existing sectoral laws and supervisory guidance. This approach is rooted in a desire to maintain American leadership in AI innovation while ensuring that risks are managed within established legal and regulatory structures, such as fair lending laws and model risk management guidance.</w:t>
      </w:r>
    </w:p>
    <w:p w14:paraId="16C4827D"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7E" w14:textId="77777777" w:rsidR="0005130B" w:rsidRDefault="00000000">
      <w:pPr>
        <w:pStyle w:val="Heading4"/>
        <w:spacing w:before="0" w:after="120" w:line="275" w:lineRule="auto"/>
        <w:rPr>
          <w:rFonts w:ascii="Google Sans Text" w:eastAsia="Google Sans Text" w:hAnsi="Google Sans Text" w:cs="Google Sans Text"/>
          <w:i/>
          <w:color w:val="1B1C1D"/>
        </w:rPr>
      </w:pPr>
      <w:r>
        <w:rPr>
          <w:rFonts w:ascii="Google Sans" w:eastAsia="Google Sans" w:hAnsi="Google Sans" w:cs="Google Sans"/>
          <w:color w:val="1B1C1D"/>
        </w:rPr>
        <w:t xml:space="preserve">Fostering Innovation: The </w:t>
      </w:r>
      <w:r>
        <w:rPr>
          <w:rFonts w:ascii="Google Sans Text" w:eastAsia="Google Sans Text" w:hAnsi="Google Sans Text" w:cs="Google Sans Text"/>
          <w:i/>
          <w:color w:val="1B1C1D"/>
        </w:rPr>
        <w:t>Unleashing AI Innovation in Financial Services Act</w:t>
      </w:r>
    </w:p>
    <w:p w14:paraId="16C48280"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B1C1D"/>
        </w:rPr>
        <w:t>This bipartisan, bicameral legislative proposal embodies the U.S. focus on innovation.</w:t>
      </w:r>
      <w:r>
        <w:rPr>
          <w:rFonts w:ascii="Google Sans Text" w:eastAsia="Google Sans Text" w:hAnsi="Google Sans Text" w:cs="Google Sans Text"/>
          <w:color w:val="444746"/>
          <w:sz w:val="24"/>
          <w:szCs w:val="24"/>
          <w:vertAlign w:val="superscript"/>
        </w:rPr>
        <w:t>33</w:t>
      </w:r>
      <w:r>
        <w:rPr>
          <w:rFonts w:ascii="Google Sans Text" w:eastAsia="Google Sans Text" w:hAnsi="Google Sans Text" w:cs="Google Sans Text"/>
          <w:color w:val="1B1C1D"/>
        </w:rPr>
        <w:t xml:space="preserve"> The Act would direct federal financial regulatory agencies—including the Federal Reserve, OCC, FDIC, and SEC—to establish "regulatory sandboxes" or "AI Innovation Labs".</w:t>
      </w:r>
      <w:r>
        <w:rPr>
          <w:rFonts w:ascii="Google Sans Text" w:eastAsia="Google Sans Text" w:hAnsi="Google Sans Text" w:cs="Google Sans Text"/>
          <w:color w:val="444746"/>
          <w:sz w:val="24"/>
          <w:szCs w:val="24"/>
          <w:vertAlign w:val="superscript"/>
        </w:rPr>
        <w:t>34</w:t>
      </w:r>
      <w:r>
        <w:rPr>
          <w:rFonts w:ascii="Google Sans Text" w:eastAsia="Google Sans Text" w:hAnsi="Google Sans Text" w:cs="Google Sans Text"/>
          <w:color w:val="1B1C1D"/>
        </w:rPr>
        <w:t xml:space="preserve"> The core purpose of these labs is to provide a controlled environment where regulated entities can test new and innovative AI-driven financial products and services.</w:t>
      </w:r>
      <w:r>
        <w:rPr>
          <w:rFonts w:ascii="Google Sans Text" w:eastAsia="Google Sans Text" w:hAnsi="Google Sans Text" w:cs="Google Sans Text"/>
          <w:color w:val="444746"/>
          <w:sz w:val="24"/>
          <w:szCs w:val="24"/>
          <w:vertAlign w:val="superscript"/>
        </w:rPr>
        <w:t>34</w:t>
      </w:r>
      <w:r>
        <w:rPr>
          <w:rFonts w:ascii="Google Sans Text" w:eastAsia="Google Sans Text" w:hAnsi="Google Sans Text" w:cs="Google Sans Text"/>
          <w:color w:val="1B1C1D"/>
        </w:rPr>
        <w:t xml:space="preserve"> Within this sandbox, firms could apply for waivers or modifications to certain regulations, allowing them to experiment with cutting-edge technologies under close supervisory oversight but without the immediate threat of enforcement actions for non-compliance with rules that may be ill-suited to the new technology.</w:t>
      </w:r>
      <w:r>
        <w:rPr>
          <w:rFonts w:ascii="Google Sans Text" w:eastAsia="Google Sans Text" w:hAnsi="Google Sans Text" w:cs="Google Sans Text"/>
          <w:color w:val="444746"/>
          <w:sz w:val="24"/>
          <w:szCs w:val="24"/>
          <w:vertAlign w:val="superscript"/>
        </w:rPr>
        <w:t>33</w:t>
      </w:r>
      <w:r>
        <w:rPr>
          <w:rFonts w:ascii="Google Sans Text" w:eastAsia="Google Sans Text" w:hAnsi="Google Sans Text" w:cs="Google Sans Text"/>
          <w:color w:val="1B1C1D"/>
        </w:rPr>
        <w:t xml:space="preserve"> The bill aims to strike a careful balance, fostering collaboration between the private sector and regulators to encourage responsible innovation while maintaining strong consumer protection and ensuring financial stability.</w:t>
      </w:r>
      <w:r>
        <w:rPr>
          <w:rFonts w:ascii="Google Sans Text" w:eastAsia="Google Sans Text" w:hAnsi="Google Sans Text" w:cs="Google Sans Text"/>
          <w:color w:val="444746"/>
          <w:sz w:val="24"/>
          <w:szCs w:val="24"/>
          <w:vertAlign w:val="superscript"/>
        </w:rPr>
        <w:t>36</w:t>
      </w:r>
    </w:p>
    <w:p w14:paraId="16C48281"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16C48282" w14:textId="77777777" w:rsidR="0005130B" w:rsidRDefault="00000000">
      <w:pPr>
        <w:pStyle w:val="Heading4"/>
        <w:spacing w:before="0" w:after="120" w:line="275" w:lineRule="auto"/>
        <w:rPr>
          <w:rFonts w:ascii="Google Sans Text" w:eastAsia="Google Sans Text" w:hAnsi="Google Sans Text" w:cs="Google Sans Text"/>
          <w:i/>
          <w:color w:val="1B1C1D"/>
        </w:rPr>
      </w:pPr>
      <w:r>
        <w:rPr>
          <w:rFonts w:ascii="Google Sans" w:eastAsia="Google Sans" w:hAnsi="Google Sans" w:cs="Google Sans"/>
          <w:color w:val="1B1C1D"/>
        </w:rPr>
        <w:t xml:space="preserve">Governing the Government: The </w:t>
      </w:r>
      <w:r>
        <w:rPr>
          <w:rFonts w:ascii="Google Sans Text" w:eastAsia="Google Sans Text" w:hAnsi="Google Sans Text" w:cs="Google Sans Text"/>
          <w:i/>
          <w:color w:val="1B1C1D"/>
        </w:rPr>
        <w:t>Federal A.I. Governance and Transparency Act of 2024</w:t>
      </w:r>
    </w:p>
    <w:p w14:paraId="16C48284"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proposed legislation focuses primarily on establishing governance, transparency, and accountability requirements for the use of AI systems </w:t>
      </w:r>
      <w:r>
        <w:rPr>
          <w:rFonts w:ascii="Google Sans Text" w:eastAsia="Google Sans Text" w:hAnsi="Google Sans Text" w:cs="Google Sans Text"/>
          <w:i/>
          <w:color w:val="1B1C1D"/>
        </w:rPr>
        <w:t>by federal agencies themselves</w:t>
      </w:r>
      <w:r>
        <w:rPr>
          <w:rFonts w:ascii="Google Sans Text" w:eastAsia="Google Sans Text" w:hAnsi="Google Sans Text" w:cs="Google Sans Text"/>
          <w:color w:val="1B1C1D"/>
        </w:rPr>
        <w:t>.</w:t>
      </w:r>
      <w:r>
        <w:rPr>
          <w:rFonts w:ascii="Google Sans Text" w:eastAsia="Google Sans Text" w:hAnsi="Google Sans Text" w:cs="Google Sans Text"/>
          <w:color w:val="444746"/>
          <w:sz w:val="24"/>
          <w:szCs w:val="24"/>
          <w:vertAlign w:val="superscript"/>
        </w:rPr>
        <w:t>37</w:t>
      </w:r>
      <w:r>
        <w:rPr>
          <w:rFonts w:ascii="Google Sans Text" w:eastAsia="Google Sans Text" w:hAnsi="Google Sans Text" w:cs="Google Sans Text"/>
          <w:color w:val="1B1C1D"/>
        </w:rPr>
        <w:t xml:space="preserve"> It mandates that federal AI use must be fair, just, impartial, and transparent, and that its benefits must outweigh its risks.</w:t>
      </w:r>
      <w:r>
        <w:rPr>
          <w:rFonts w:ascii="Google Sans Text" w:eastAsia="Google Sans Text" w:hAnsi="Google Sans Text" w:cs="Google Sans Text"/>
          <w:color w:val="444746"/>
          <w:sz w:val="24"/>
          <w:szCs w:val="24"/>
          <w:vertAlign w:val="superscript"/>
        </w:rPr>
        <w:t>39</w:t>
      </w:r>
      <w:r>
        <w:rPr>
          <w:rFonts w:ascii="Google Sans Text" w:eastAsia="Google Sans Text" w:hAnsi="Google Sans Text" w:cs="Google Sans Text"/>
          <w:color w:val="1B1C1D"/>
        </w:rPr>
        <w:t xml:space="preserve"> The Act would require agencies to publish "AI Governance Charters" for their systems and ensure that individuals affected by AI-driven decisions have </w:t>
      </w:r>
      <w:r>
        <w:rPr>
          <w:rFonts w:ascii="Google Sans Text" w:eastAsia="Google Sans Text" w:hAnsi="Google Sans Text" w:cs="Google Sans Text"/>
          <w:color w:val="1B1C1D"/>
        </w:rPr>
        <w:lastRenderedPageBreak/>
        <w:t>access to an appeals process with human review.</w:t>
      </w:r>
      <w:r>
        <w:rPr>
          <w:rFonts w:ascii="Google Sans Text" w:eastAsia="Google Sans Text" w:hAnsi="Google Sans Text" w:cs="Google Sans Text"/>
          <w:color w:val="444746"/>
          <w:sz w:val="24"/>
          <w:szCs w:val="24"/>
          <w:vertAlign w:val="superscript"/>
        </w:rPr>
        <w:t>37</w:t>
      </w:r>
      <w:r>
        <w:rPr>
          <w:rFonts w:ascii="Google Sans Text" w:eastAsia="Google Sans Text" w:hAnsi="Google Sans Text" w:cs="Google Sans Text"/>
          <w:color w:val="1B1C1D"/>
        </w:rPr>
        <w:t xml:space="preserve"> While this bill does not directly regulate the private financial sector, its principles are highly influential. They signal the standards that Congress expects for responsible AI, which will inevitably shape the expectations that financial regulators—as federal agencies subject to the Act—will have for the firms they supervise. It will also directly govern how these regulators deploy their own AI tools for supervisory technology (</w:t>
      </w:r>
      <w:proofErr w:type="spellStart"/>
      <w:r>
        <w:rPr>
          <w:rFonts w:ascii="Google Sans Text" w:eastAsia="Google Sans Text" w:hAnsi="Google Sans Text" w:cs="Google Sans Text"/>
          <w:color w:val="1B1C1D"/>
        </w:rPr>
        <w:t>SupTech</w:t>
      </w:r>
      <w:proofErr w:type="spellEnd"/>
      <w:r>
        <w:rPr>
          <w:rFonts w:ascii="Google Sans Text" w:eastAsia="Google Sans Text" w:hAnsi="Google Sans Text" w:cs="Google Sans Text"/>
          <w:color w:val="1B1C1D"/>
        </w:rPr>
        <w:t>) and market surveillance.</w:t>
      </w:r>
    </w:p>
    <w:p w14:paraId="16C48285"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86"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Rise of State-Level Regulation</w:t>
      </w:r>
    </w:p>
    <w:p w14:paraId="16C48288"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the absence of a comprehensive federal AI law, a patchwork of state-level regulations is beginning to emerge, creating a complex compliance map for financial institutions operating across the country. States like California have enacted laws requiring transparency around the data used to train generative AI models, while Colorado has passed legislation demanding disclosure of how AI is used in lending decisions to mitigate discrimination.</w:t>
      </w:r>
      <w:r>
        <w:rPr>
          <w:rFonts w:ascii="Google Sans Text" w:eastAsia="Google Sans Text" w:hAnsi="Google Sans Text" w:cs="Google Sans Text"/>
          <w:color w:val="444746"/>
          <w:sz w:val="24"/>
          <w:szCs w:val="24"/>
          <w:vertAlign w:val="superscript"/>
        </w:rPr>
        <w:t>26</w:t>
      </w:r>
      <w:r>
        <w:rPr>
          <w:rFonts w:ascii="Google Sans Text" w:eastAsia="Google Sans Text" w:hAnsi="Google Sans Text" w:cs="Google Sans Text"/>
          <w:color w:val="1B1C1D"/>
        </w:rPr>
        <w:t xml:space="preserve"> This trend towards state-level action creates the risk of conflicting or duplicative requirements, increasing the compliance burden for firms and underscoring the fragmented nature of the U.S. approach.</w:t>
      </w:r>
    </w:p>
    <w:p w14:paraId="16C48289"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legislative landscape reveals a strategic transatlantic divergence in regulatory philosophy. The EU has chosen a path of comprehensive, </w:t>
      </w:r>
      <w:r>
        <w:rPr>
          <w:rFonts w:ascii="Google Sans Text" w:eastAsia="Google Sans Text" w:hAnsi="Google Sans Text" w:cs="Google Sans Text"/>
          <w:i/>
          <w:color w:val="1B1C1D"/>
        </w:rPr>
        <w:t>ex-ante</w:t>
      </w:r>
      <w:r>
        <w:rPr>
          <w:rFonts w:ascii="Google Sans Text" w:eastAsia="Google Sans Text" w:hAnsi="Google Sans Text" w:cs="Google Sans Text"/>
          <w:color w:val="1B1C1D"/>
        </w:rPr>
        <w:t xml:space="preserve"> regulation with the AI Act, seeking to define risks and prescribe solutions before widespread harm can occur.</w:t>
      </w:r>
      <w:r>
        <w:rPr>
          <w:rFonts w:ascii="Google Sans Text" w:eastAsia="Google Sans Text" w:hAnsi="Google Sans Text" w:cs="Google Sans Text"/>
          <w:color w:val="444746"/>
          <w:sz w:val="24"/>
          <w:szCs w:val="24"/>
          <w:vertAlign w:val="superscript"/>
        </w:rPr>
        <w:t>23</w:t>
      </w:r>
      <w:r>
        <w:rPr>
          <w:rFonts w:ascii="Google Sans Text" w:eastAsia="Google Sans Text" w:hAnsi="Google Sans Text" w:cs="Google Sans Text"/>
          <w:color w:val="1B1C1D"/>
        </w:rPr>
        <w:t xml:space="preserve"> The U.S., in contrast, is pursuing a more </w:t>
      </w:r>
      <w:r>
        <w:rPr>
          <w:rFonts w:ascii="Google Sans Text" w:eastAsia="Google Sans Text" w:hAnsi="Google Sans Text" w:cs="Google Sans Text"/>
          <w:i/>
          <w:color w:val="1B1C1D"/>
        </w:rPr>
        <w:t>ex-post</w:t>
      </w:r>
      <w:r>
        <w:rPr>
          <w:rFonts w:ascii="Google Sans Text" w:eastAsia="Google Sans Text" w:hAnsi="Google Sans Text" w:cs="Google Sans Text"/>
          <w:color w:val="1B1C1D"/>
        </w:rPr>
        <w:t xml:space="preserve"> and innovation-centric philosophy. The legislative focus is on creating sandboxes to encourage development and applying existing laws to address harms after they are identified, rather than pre-emptively regulating the technology itself.</w:t>
      </w:r>
      <w:r>
        <w:rPr>
          <w:rFonts w:ascii="Google Sans Text" w:eastAsia="Google Sans Text" w:hAnsi="Google Sans Text" w:cs="Google Sans Text"/>
          <w:color w:val="444746"/>
          <w:sz w:val="24"/>
          <w:szCs w:val="24"/>
          <w:vertAlign w:val="superscript"/>
        </w:rPr>
        <w:t>32</w:t>
      </w:r>
      <w:r>
        <w:rPr>
          <w:rFonts w:ascii="Google Sans Text" w:eastAsia="Google Sans Text" w:hAnsi="Google Sans Text" w:cs="Google Sans Text"/>
          <w:color w:val="1B1C1D"/>
        </w:rPr>
        <w:t xml:space="preserve"> This reflects a fundamental difference in priorities: the EU is prioritizing harmonization and risk prevention, while the U.S. is prioritizing innovation and market leadership. Multinational financial institutions are caught in this divergence and cannot adopt a single global AI compliance strategy. Their EU operations will be heavily focused on prescriptive, evidence-based compliance with the AI Act, while their U.S. operations will focus on navigating a fragmented legal landscape, engaging with regulators in sandboxes, and defending their models under established, principles-based guidance like SR 11-7.</w:t>
      </w:r>
    </w:p>
    <w:p w14:paraId="16C4828A" w14:textId="77777777" w:rsidR="0005130B" w:rsidRDefault="00000000">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r>
        <w:pict w14:anchorId="16C4832D">
          <v:rect id="_x0000_i1027" style="width:0;height:1.5pt" o:hralign="center" o:hrstd="t" o:hr="t" fillcolor="#a0a0a0" stroked="f"/>
        </w:pict>
      </w:r>
    </w:p>
    <w:p w14:paraId="16C4828B" w14:textId="77777777" w:rsidR="0005130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t>Section 3: A Comparative Analysis of Global Regulatory Philosophies</w:t>
      </w:r>
    </w:p>
    <w:p w14:paraId="16C4828D"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The global regulatory landscape for AI in finance is coalescing around two distinct philosophical poles. One, championed by the European Union, is defined by comprehensive, prescriptive legislation. The other, favored by the United States, United Kingdom, and key APAC hubs, is a principles-based, outcomes-focused approach that relies on adapting existing regulatory frameworks. Understanding the nuances of these divergent models is </w:t>
      </w:r>
      <w:r>
        <w:rPr>
          <w:rFonts w:ascii="Google Sans Text" w:eastAsia="Google Sans Text" w:hAnsi="Google Sans Text" w:cs="Google Sans Text"/>
          <w:color w:val="1B1C1D"/>
        </w:rPr>
        <w:lastRenderedPageBreak/>
        <w:t>critical for multinational financial institutions seeking to build a coherent global governance strategy.</w:t>
      </w:r>
    </w:p>
    <w:p w14:paraId="16C4828E"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8F" w14:textId="77777777" w:rsidR="0005130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3.1. Principles vs. Prescription: A Tale of Two Approaches</w:t>
      </w:r>
    </w:p>
    <w:p w14:paraId="16C48291" w14:textId="77777777" w:rsidR="0005130B" w:rsidRDefault="0005130B">
      <w:pPr>
        <w:pBdr>
          <w:top w:val="nil"/>
          <w:left w:val="nil"/>
          <w:bottom w:val="nil"/>
          <w:right w:val="nil"/>
          <w:between w:val="nil"/>
        </w:pBdr>
        <w:spacing w:after="240" w:line="275" w:lineRule="auto"/>
        <w:rPr>
          <w:rFonts w:ascii="Google Sans" w:eastAsia="Google Sans" w:hAnsi="Google Sans" w:cs="Google Sans"/>
          <w:color w:val="1B1C1D"/>
        </w:rPr>
      </w:pPr>
    </w:p>
    <w:p w14:paraId="16C48292"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EU's Prescriptive Model</w:t>
      </w:r>
    </w:p>
    <w:p w14:paraId="16C48294"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European Union's approach is defined by its ambition to create a harmonized, legally binding, and detailed rulebook for technology and AI. The combination of DORA and the AI Act creates a regime where compliance is demonstrated through adherence to a specific and extensive list of documented processes, controls, and standards. For a high-risk AI system, for example, a firm must be able to produce detailed technical documentation, evidence of a continuous risk management system, proof of data quality and bias checks, and records of human oversight, among other requirements.</w:t>
      </w:r>
      <w:r>
        <w:rPr>
          <w:rFonts w:ascii="Google Sans Text" w:eastAsia="Google Sans Text" w:hAnsi="Google Sans Text" w:cs="Google Sans Text"/>
          <w:color w:val="444746"/>
          <w:sz w:val="24"/>
          <w:szCs w:val="24"/>
          <w:vertAlign w:val="superscript"/>
        </w:rPr>
        <w:t>25</w:t>
      </w:r>
      <w:r>
        <w:rPr>
          <w:rFonts w:ascii="Google Sans Text" w:eastAsia="Google Sans Text" w:hAnsi="Google Sans Text" w:cs="Google Sans Text"/>
          <w:color w:val="1B1C1D"/>
        </w:rPr>
        <w:t xml:space="preserve"> The regulatory focus is on ensuring that the correct </w:t>
      </w:r>
      <w:r>
        <w:rPr>
          <w:rFonts w:ascii="Google Sans Text" w:eastAsia="Google Sans Text" w:hAnsi="Google Sans Text" w:cs="Google Sans Text"/>
          <w:i/>
          <w:color w:val="1B1C1D"/>
        </w:rPr>
        <w:t>process</w:t>
      </w:r>
      <w:r>
        <w:rPr>
          <w:rFonts w:ascii="Google Sans Text" w:eastAsia="Google Sans Text" w:hAnsi="Google Sans Text" w:cs="Google Sans Text"/>
          <w:color w:val="1B1C1D"/>
        </w:rPr>
        <w:t xml:space="preserve"> has been followed throughout the system's lifecycle.</w:t>
      </w:r>
    </w:p>
    <w:p w14:paraId="16C48295"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96"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"Anglosphere" Principles-Based Model</w:t>
      </w:r>
    </w:p>
    <w:p w14:paraId="16C48298"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In contrast, a group of influential jurisdictions, including the UK, Singapore, and Canada, have adopted a more flexible, principles-based philosophy. This approach avoids writing detailed, technology-specific rules that could quickly become outdated and instead relies on high-level, outcome-focused principles enforced through existing supervisory structures.</w:t>
      </w:r>
    </w:p>
    <w:p w14:paraId="16C48299" w14:textId="77777777" w:rsidR="0005130B"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United Kingdom (FCA):</w:t>
      </w:r>
      <w:r>
        <w:rPr>
          <w:rFonts w:ascii="Google Sans Text" w:eastAsia="Google Sans Text" w:hAnsi="Google Sans Text" w:cs="Google Sans Text"/>
          <w:color w:val="1B1C1D"/>
        </w:rPr>
        <w:t xml:space="preserve"> The UK's Financial Conduct Authority (FCA) has been explicit in its "technology-agnostic" stance, stating that it does not plan to introduce extra regulations for AI.</w:t>
      </w:r>
      <w:r>
        <w:rPr>
          <w:rFonts w:ascii="Google Sans Text" w:eastAsia="Google Sans Text" w:hAnsi="Google Sans Text" w:cs="Google Sans Text"/>
          <w:color w:val="444746"/>
          <w:sz w:val="24"/>
          <w:szCs w:val="24"/>
          <w:vertAlign w:val="superscript"/>
        </w:rPr>
        <w:t>42</w:t>
      </w:r>
      <w:r>
        <w:rPr>
          <w:rFonts w:ascii="Google Sans Text" w:eastAsia="Google Sans Text" w:hAnsi="Google Sans Text" w:cs="Google Sans Text"/>
          <w:color w:val="1B1C1D"/>
        </w:rPr>
        <w:t xml:space="preserve"> Instead, it leverages two powerful, existing frameworks. First, the </w:t>
      </w:r>
      <w:r>
        <w:rPr>
          <w:rFonts w:ascii="Google Sans Text" w:eastAsia="Google Sans Text" w:hAnsi="Google Sans Text" w:cs="Google Sans Text"/>
          <w:b/>
          <w:color w:val="1B1C1D"/>
        </w:rPr>
        <w:t>Senior Managers and Certification Regime (SMCR)</w:t>
      </w:r>
      <w:r>
        <w:rPr>
          <w:rFonts w:ascii="Google Sans Text" w:eastAsia="Google Sans Text" w:hAnsi="Google Sans Text" w:cs="Google Sans Text"/>
          <w:color w:val="1B1C1D"/>
        </w:rPr>
        <w:t xml:space="preserve"> enforces individual accountability. A designated senior manager is held personally responsible for the risks and outcomes associated with the firm's use of AI, ensuring that accountability is clearly assigned at the highest levels.</w:t>
      </w:r>
      <w:r>
        <w:rPr>
          <w:rFonts w:ascii="Google Sans Text" w:eastAsia="Google Sans Text" w:hAnsi="Google Sans Text" w:cs="Google Sans Text"/>
          <w:color w:val="444746"/>
          <w:sz w:val="24"/>
          <w:szCs w:val="24"/>
          <w:vertAlign w:val="superscript"/>
        </w:rPr>
        <w:t>43</w:t>
      </w:r>
      <w:r>
        <w:rPr>
          <w:rFonts w:ascii="Google Sans Text" w:eastAsia="Google Sans Text" w:hAnsi="Google Sans Text" w:cs="Google Sans Text"/>
          <w:color w:val="1B1C1D"/>
        </w:rPr>
        <w:t xml:space="preserve"> Second, the </w:t>
      </w:r>
      <w:r>
        <w:rPr>
          <w:rFonts w:ascii="Google Sans Text" w:eastAsia="Google Sans Text" w:hAnsi="Google Sans Text" w:cs="Google Sans Text"/>
          <w:b/>
          <w:color w:val="1B1C1D"/>
        </w:rPr>
        <w:t>Consumer Duty</w:t>
      </w:r>
      <w:r>
        <w:rPr>
          <w:rFonts w:ascii="Google Sans Text" w:eastAsia="Google Sans Text" w:hAnsi="Google Sans Text" w:cs="Google Sans Text"/>
          <w:color w:val="1B1C1D"/>
        </w:rPr>
        <w:t xml:space="preserve"> requires firms to act to deliver good outcomes for retail customers.</w:t>
      </w:r>
      <w:r>
        <w:rPr>
          <w:rFonts w:ascii="Google Sans Text" w:eastAsia="Google Sans Text" w:hAnsi="Google Sans Text" w:cs="Google Sans Text"/>
          <w:color w:val="444746"/>
          <w:sz w:val="24"/>
          <w:szCs w:val="24"/>
          <w:vertAlign w:val="superscript"/>
        </w:rPr>
        <w:t>42</w:t>
      </w:r>
      <w:r>
        <w:rPr>
          <w:rFonts w:ascii="Google Sans Text" w:eastAsia="Google Sans Text" w:hAnsi="Google Sans Text" w:cs="Google Sans Text"/>
          <w:color w:val="1B1C1D"/>
        </w:rPr>
        <w:t xml:space="preserve"> This principle applies directly to the use of AI, making a firm accountable if its algorithms lead to unfair outcomes, such as biased lending decisions or poor product recommendations, regardless of the specific technology or process used.</w:t>
      </w:r>
      <w:r>
        <w:rPr>
          <w:rFonts w:ascii="Google Sans Text" w:eastAsia="Google Sans Text" w:hAnsi="Google Sans Text" w:cs="Google Sans Text"/>
          <w:color w:val="444746"/>
          <w:sz w:val="24"/>
          <w:szCs w:val="24"/>
          <w:vertAlign w:val="superscript"/>
        </w:rPr>
        <w:t>42</w:t>
      </w:r>
    </w:p>
    <w:p w14:paraId="16C4829A" w14:textId="77777777" w:rsidR="0005130B" w:rsidRDefault="00000000">
      <w:pPr>
        <w:numPr>
          <w:ilvl w:val="0"/>
          <w:numId w:val="8"/>
        </w:numPr>
        <w:pBdr>
          <w:top w:val="nil"/>
          <w:left w:val="nil"/>
          <w:bottom w:val="nil"/>
          <w:right w:val="nil"/>
          <w:between w:val="nil"/>
        </w:pBdr>
        <w:spacing w:line="275" w:lineRule="auto"/>
      </w:pPr>
      <w:r>
        <w:rPr>
          <w:rFonts w:ascii="Google Sans Text" w:eastAsia="Google Sans Text" w:hAnsi="Google Sans Text" w:cs="Google Sans Text"/>
          <w:b/>
          <w:color w:val="1B1C1D"/>
        </w:rPr>
        <w:t>Singapore (MAS):</w:t>
      </w:r>
      <w:r>
        <w:rPr>
          <w:rFonts w:ascii="Google Sans Text" w:eastAsia="Google Sans Text" w:hAnsi="Google Sans Text" w:cs="Google Sans Text"/>
          <w:color w:val="1B1C1D"/>
        </w:rPr>
        <w:t xml:space="preserve"> The Monetary Authority of Singapore (MAS) has been a proactive leader in this space, developing its </w:t>
      </w:r>
      <w:r>
        <w:rPr>
          <w:rFonts w:ascii="Google Sans Text" w:eastAsia="Google Sans Text" w:hAnsi="Google Sans Text" w:cs="Google Sans Text"/>
          <w:b/>
          <w:color w:val="1B1C1D"/>
        </w:rPr>
        <w:t>FEAT (Fairness, Ethics, Accountability, Transparency)</w:t>
      </w:r>
      <w:r>
        <w:rPr>
          <w:rFonts w:ascii="Google Sans Text" w:eastAsia="Google Sans Text" w:hAnsi="Google Sans Text" w:cs="Google Sans Text"/>
          <w:color w:val="1B1C1D"/>
        </w:rPr>
        <w:t xml:space="preserve"> framework in close collaboration with the industry.</w:t>
      </w:r>
      <w:r>
        <w:rPr>
          <w:rFonts w:ascii="Google Sans Text" w:eastAsia="Google Sans Text" w:hAnsi="Google Sans Text" w:cs="Google Sans Text"/>
          <w:color w:val="444746"/>
          <w:sz w:val="24"/>
          <w:szCs w:val="24"/>
          <w:vertAlign w:val="superscript"/>
        </w:rPr>
        <w:t>46</w:t>
      </w:r>
      <w:r>
        <w:rPr>
          <w:rFonts w:ascii="Google Sans Text" w:eastAsia="Google Sans Text" w:hAnsi="Google Sans Text" w:cs="Google Sans Text"/>
          <w:color w:val="1B1C1D"/>
        </w:rPr>
        <w:t xml:space="preserve"> This is not a hard law but a set of detailed guiding principles that MAS expects financial institutions to follow. The FEAT principles provide clear guidance on key issues: </w:t>
      </w:r>
      <w:r>
        <w:rPr>
          <w:rFonts w:ascii="Google Sans Text" w:eastAsia="Google Sans Text" w:hAnsi="Google Sans Text" w:cs="Google Sans Text"/>
          <w:b/>
          <w:color w:val="1B1C1D"/>
        </w:rPr>
        <w:t>Fairness</w:t>
      </w:r>
      <w:r>
        <w:rPr>
          <w:rFonts w:ascii="Google Sans Text" w:eastAsia="Google Sans Text" w:hAnsi="Google Sans Text" w:cs="Google Sans Text"/>
          <w:color w:val="1B1C1D"/>
        </w:rPr>
        <w:t xml:space="preserve"> requires that decisions are </w:t>
      </w:r>
      <w:proofErr w:type="gramStart"/>
      <w:r>
        <w:rPr>
          <w:rFonts w:ascii="Google Sans Text" w:eastAsia="Google Sans Text" w:hAnsi="Google Sans Text" w:cs="Google Sans Text"/>
          <w:color w:val="1B1C1D"/>
        </w:rPr>
        <w:t>justifiable</w:t>
      </w:r>
      <w:proofErr w:type="gramEnd"/>
      <w:r>
        <w:rPr>
          <w:rFonts w:ascii="Google Sans Text" w:eastAsia="Google Sans Text" w:hAnsi="Google Sans Text" w:cs="Google Sans Text"/>
          <w:color w:val="1B1C1D"/>
        </w:rPr>
        <w:t xml:space="preserve"> and that data and models are regularly reviewed to minimize </w:t>
      </w:r>
      <w:r>
        <w:rPr>
          <w:rFonts w:ascii="Google Sans Text" w:eastAsia="Google Sans Text" w:hAnsi="Google Sans Text" w:cs="Google Sans Text"/>
          <w:color w:val="1B1C1D"/>
        </w:rPr>
        <w:lastRenderedPageBreak/>
        <w:t xml:space="preserve">unintentional bias; </w:t>
      </w:r>
      <w:r>
        <w:rPr>
          <w:rFonts w:ascii="Google Sans Text" w:eastAsia="Google Sans Text" w:hAnsi="Google Sans Text" w:cs="Google Sans Text"/>
          <w:b/>
          <w:color w:val="1B1C1D"/>
        </w:rPr>
        <w:t>Accountability</w:t>
      </w:r>
      <w:r>
        <w:rPr>
          <w:rFonts w:ascii="Google Sans Text" w:eastAsia="Google Sans Text" w:hAnsi="Google Sans Text" w:cs="Google Sans Text"/>
          <w:color w:val="1B1C1D"/>
        </w:rPr>
        <w:t xml:space="preserve"> requires clear internal governance, responsibility for both in-house and third-party models, and external channels for customers to appeal AIDA-driven decisions.</w:t>
      </w:r>
      <w:r>
        <w:rPr>
          <w:rFonts w:ascii="Google Sans Text" w:eastAsia="Google Sans Text" w:hAnsi="Google Sans Text" w:cs="Google Sans Text"/>
          <w:color w:val="444746"/>
          <w:sz w:val="24"/>
          <w:szCs w:val="24"/>
          <w:vertAlign w:val="superscript"/>
        </w:rPr>
        <w:t>47</w:t>
      </w:r>
    </w:p>
    <w:p w14:paraId="16C4829B" w14:textId="77777777" w:rsidR="0005130B"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color w:val="1B1C1D"/>
        </w:rPr>
        <w:t>Canada (OSFI):</w:t>
      </w:r>
      <w:r>
        <w:rPr>
          <w:rFonts w:ascii="Google Sans Text" w:eastAsia="Google Sans Text" w:hAnsi="Google Sans Text" w:cs="Google Sans Text"/>
          <w:color w:val="1B1C1D"/>
        </w:rPr>
        <w:t xml:space="preserve"> Canada's Office of the Superintendent of Financial Institutions (OSFI) has also pursued a principles-based approach, developing the </w:t>
      </w:r>
      <w:r>
        <w:rPr>
          <w:rFonts w:ascii="Google Sans Text" w:eastAsia="Google Sans Text" w:hAnsi="Google Sans Text" w:cs="Google Sans Text"/>
          <w:b/>
          <w:color w:val="1B1C1D"/>
        </w:rPr>
        <w:t>EDGE (Explainability, Data, Governance, Ethics)</w:t>
      </w:r>
      <w:r>
        <w:rPr>
          <w:rFonts w:ascii="Google Sans Text" w:eastAsia="Google Sans Text" w:hAnsi="Google Sans Text" w:cs="Google Sans Text"/>
          <w:color w:val="1B1C1D"/>
        </w:rPr>
        <w:t xml:space="preserve"> principles through its Financial Industry Forum on Artificial Intelligence.</w:t>
      </w:r>
      <w:r>
        <w:rPr>
          <w:rFonts w:ascii="Google Sans Text" w:eastAsia="Google Sans Text" w:hAnsi="Google Sans Text" w:cs="Google Sans Text"/>
          <w:color w:val="444746"/>
          <w:sz w:val="24"/>
          <w:szCs w:val="24"/>
          <w:vertAlign w:val="superscript"/>
        </w:rPr>
        <w:t>49</w:t>
      </w:r>
      <w:r>
        <w:rPr>
          <w:rFonts w:ascii="Google Sans Text" w:eastAsia="Google Sans Text" w:hAnsi="Google Sans Text" w:cs="Google Sans Text"/>
          <w:color w:val="1B1C1D"/>
        </w:rPr>
        <w:t xml:space="preserve"> These principles emphasize the need for a holistic, multi-disciplinary governance framework that is embedded in a risk-based culture, with clear roles and responsibilities defined across the organization.</w:t>
      </w:r>
      <w:r>
        <w:rPr>
          <w:rFonts w:ascii="Google Sans Text" w:eastAsia="Google Sans Text" w:hAnsi="Google Sans Text" w:cs="Google Sans Text"/>
          <w:color w:val="444746"/>
          <w:sz w:val="24"/>
          <w:szCs w:val="24"/>
          <w:vertAlign w:val="superscript"/>
        </w:rPr>
        <w:t>49</w:t>
      </w:r>
    </w:p>
    <w:p w14:paraId="16C4829C" w14:textId="77777777" w:rsidR="0005130B"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This philosophical split between prescription and principles leads to a crucial divergence in where accountability ultimately resides. The EU's prescriptive model places accountability primarily on the </w:t>
      </w:r>
      <w:r>
        <w:rPr>
          <w:rFonts w:ascii="Google Sans Text" w:eastAsia="Google Sans Text" w:hAnsi="Google Sans Text" w:cs="Google Sans Text"/>
          <w:i/>
          <w:color w:val="1B1C1D"/>
        </w:rPr>
        <w:t>process</w:t>
      </w:r>
      <w:r>
        <w:rPr>
          <w:rFonts w:ascii="Google Sans Text" w:eastAsia="Google Sans Text" w:hAnsi="Google Sans Text" w:cs="Google Sans Text"/>
          <w:color w:val="1B1C1D"/>
        </w:rPr>
        <w:t xml:space="preserve"> and the </w:t>
      </w:r>
      <w:r>
        <w:rPr>
          <w:rFonts w:ascii="Google Sans Text" w:eastAsia="Google Sans Text" w:hAnsi="Google Sans Text" w:cs="Google Sans Text"/>
          <w:i/>
          <w:color w:val="1B1C1D"/>
        </w:rPr>
        <w:t>system</w:t>
      </w:r>
      <w:r>
        <w:rPr>
          <w:rFonts w:ascii="Google Sans Text" w:eastAsia="Google Sans Text" w:hAnsi="Google Sans Text" w:cs="Google Sans Text"/>
          <w:color w:val="1B1C1D"/>
        </w:rPr>
        <w:t xml:space="preserve">. An organization demonstrates compliance by proving it has correctly implemented the required risk management systems, data governance checks, and documentation as mandated by the AI Act. Liability arises from a failure to follow these prescribed procedures. In contrast, the principles-based models, most notably the UK's SMCR, place accountability squarely on the </w:t>
      </w:r>
      <w:r>
        <w:rPr>
          <w:rFonts w:ascii="Google Sans Text" w:eastAsia="Google Sans Text" w:hAnsi="Google Sans Text" w:cs="Google Sans Text"/>
          <w:i/>
          <w:color w:val="1B1C1D"/>
        </w:rPr>
        <w:t>individual</w:t>
      </w:r>
      <w:r>
        <w:rPr>
          <w:rFonts w:ascii="Google Sans Text" w:eastAsia="Google Sans Text" w:hAnsi="Google Sans Text" w:cs="Google Sans Text"/>
          <w:color w:val="1B1C1D"/>
        </w:rPr>
        <w:t xml:space="preserve"> and the </w:t>
      </w:r>
      <w:r>
        <w:rPr>
          <w:rFonts w:ascii="Google Sans Text" w:eastAsia="Google Sans Text" w:hAnsi="Google Sans Text" w:cs="Google Sans Text"/>
          <w:i/>
          <w:color w:val="1B1C1D"/>
        </w:rPr>
        <w:t>outcome</w:t>
      </w:r>
      <w:r>
        <w:rPr>
          <w:rFonts w:ascii="Google Sans Text" w:eastAsia="Google Sans Text" w:hAnsi="Google Sans Text" w:cs="Google Sans Text"/>
          <w:color w:val="1B1C1D"/>
        </w:rPr>
        <w:t>. A Senior Manager is held accountable for the fairness of the outcomes produced by an AI system, regardless of the specific process that was followed.</w:t>
      </w:r>
      <w:r>
        <w:rPr>
          <w:rFonts w:ascii="Google Sans Text" w:eastAsia="Google Sans Text" w:hAnsi="Google Sans Text" w:cs="Google Sans Text"/>
          <w:color w:val="444746"/>
          <w:sz w:val="24"/>
          <w:szCs w:val="24"/>
          <w:vertAlign w:val="superscript"/>
        </w:rPr>
        <w:t>43</w:t>
      </w:r>
      <w:r>
        <w:rPr>
          <w:rFonts w:ascii="Google Sans Text" w:eastAsia="Google Sans Text" w:hAnsi="Google Sans Text" w:cs="Google Sans Text"/>
          <w:color w:val="1B1C1D"/>
        </w:rPr>
        <w:t xml:space="preserve"> Liability is personal and tied to a demonstrable failure of reasonable oversight. This represents a fundamental difference in the locus of regulatory burden and legal risk. In the EU, the pressure is on the compliance and legal functions to build a certifiably correct framework. In the UK, the pressure is on the senior business leader who owns the risk to stand before the regulator and personally attest to the fairness of the results generated by their division's AI systems. A global financial institution must design its AI accountability framework to accommodate </w:t>
      </w:r>
      <w:proofErr w:type="gramStart"/>
      <w:r>
        <w:rPr>
          <w:rFonts w:ascii="Google Sans Text" w:eastAsia="Google Sans Text" w:hAnsi="Google Sans Text" w:cs="Google Sans Text"/>
          <w:color w:val="1B1C1D"/>
        </w:rPr>
        <w:t>both of these</w:t>
      </w:r>
      <w:proofErr w:type="gramEnd"/>
      <w:r>
        <w:rPr>
          <w:rFonts w:ascii="Google Sans Text" w:eastAsia="Google Sans Text" w:hAnsi="Google Sans Text" w:cs="Google Sans Text"/>
          <w:color w:val="1B1C1D"/>
        </w:rPr>
        <w:t xml:space="preserve"> distinct models of liability.</w:t>
      </w:r>
    </w:p>
    <w:p w14:paraId="16C4829D"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9E" w14:textId="77777777" w:rsidR="0005130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3.2. Comparative Regulatory Matrix for AI/ML in Financial Services</w:t>
      </w:r>
    </w:p>
    <w:p w14:paraId="16C482A0"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following matrix provides a consolidated, at-a-glance comparison of the regulatory approaches across key jurisdictions, distilling the detailed analysis of this report into a strategic overview for senior management. It highlights the core differences in legislative approach, governance expectations, and supervisory tone, enabling a clearer understanding of the multifaceted global landscape.</w:t>
      </w:r>
    </w:p>
    <w:tbl>
      <w:tblPr>
        <w:tblStyle w:val="GridTable3"/>
        <w:tblW w:w="9360" w:type="dxa"/>
        <w:tblLayout w:type="fixed"/>
        <w:tblLook w:val="0600" w:firstRow="0" w:lastRow="0" w:firstColumn="0" w:lastColumn="0" w:noHBand="1" w:noVBand="1"/>
      </w:tblPr>
      <w:tblGrid>
        <w:gridCol w:w="1560"/>
        <w:gridCol w:w="1560"/>
        <w:gridCol w:w="1560"/>
        <w:gridCol w:w="1560"/>
        <w:gridCol w:w="1560"/>
        <w:gridCol w:w="1560"/>
      </w:tblGrid>
      <w:tr w:rsidR="0005130B" w:rsidRPr="000F465D" w14:paraId="16C482A7" w14:textId="77777777" w:rsidTr="00F673B1">
        <w:trPr>
          <w:tblHeader/>
        </w:trPr>
        <w:tc>
          <w:tcPr>
            <w:tcW w:w="1560" w:type="dxa"/>
            <w:shd w:val="clear" w:color="auto" w:fill="1F497D" w:themeFill="text2"/>
          </w:tcPr>
          <w:p w14:paraId="16C482A1" w14:textId="77777777" w:rsidR="0005130B" w:rsidRPr="00F673B1" w:rsidRDefault="00000000" w:rsidP="00F673B1">
            <w:pPr>
              <w:pBdr>
                <w:top w:val="nil"/>
                <w:left w:val="nil"/>
                <w:bottom w:val="nil"/>
                <w:right w:val="nil"/>
                <w:between w:val="nil"/>
              </w:pBdr>
              <w:spacing w:before="120" w:after="120" w:line="275" w:lineRule="auto"/>
              <w:jc w:val="center"/>
              <w:rPr>
                <w:rFonts w:ascii="Google Sans Text" w:eastAsia="Google Sans Text" w:hAnsi="Google Sans Text" w:cs="Google Sans Text"/>
                <w:b/>
                <w:color w:val="FFFFFF" w:themeColor="background1"/>
              </w:rPr>
            </w:pPr>
            <w:r w:rsidRPr="00F673B1">
              <w:rPr>
                <w:rFonts w:ascii="Google Sans Text" w:eastAsia="Google Sans Text" w:hAnsi="Google Sans Text" w:cs="Google Sans Text"/>
                <w:b/>
                <w:color w:val="FFFFFF" w:themeColor="background1"/>
              </w:rPr>
              <w:lastRenderedPageBreak/>
              <w:t>Regulatory Dimension</w:t>
            </w:r>
          </w:p>
        </w:tc>
        <w:tc>
          <w:tcPr>
            <w:tcW w:w="1560" w:type="dxa"/>
            <w:shd w:val="clear" w:color="auto" w:fill="1F497D" w:themeFill="text2"/>
          </w:tcPr>
          <w:p w14:paraId="16C482A2" w14:textId="77777777" w:rsidR="0005130B" w:rsidRPr="00F673B1" w:rsidRDefault="00000000" w:rsidP="00F673B1">
            <w:pPr>
              <w:pBdr>
                <w:top w:val="nil"/>
                <w:left w:val="nil"/>
                <w:bottom w:val="nil"/>
                <w:right w:val="nil"/>
                <w:between w:val="nil"/>
              </w:pBdr>
              <w:spacing w:before="120" w:after="120" w:line="275" w:lineRule="auto"/>
              <w:jc w:val="center"/>
              <w:rPr>
                <w:rFonts w:ascii="Google Sans Text" w:eastAsia="Google Sans Text" w:hAnsi="Google Sans Text" w:cs="Google Sans Text"/>
                <w:b/>
                <w:color w:val="FFFFFF" w:themeColor="background1"/>
              </w:rPr>
            </w:pPr>
            <w:r w:rsidRPr="00F673B1">
              <w:rPr>
                <w:rFonts w:ascii="Google Sans Text" w:eastAsia="Google Sans Text" w:hAnsi="Google Sans Text" w:cs="Google Sans Text"/>
                <w:b/>
                <w:color w:val="FFFFFF" w:themeColor="background1"/>
              </w:rPr>
              <w:t>European Union</w:t>
            </w:r>
          </w:p>
        </w:tc>
        <w:tc>
          <w:tcPr>
            <w:tcW w:w="1560" w:type="dxa"/>
            <w:shd w:val="clear" w:color="auto" w:fill="1F497D" w:themeFill="text2"/>
          </w:tcPr>
          <w:p w14:paraId="16C482A3" w14:textId="77777777" w:rsidR="0005130B" w:rsidRPr="00F673B1" w:rsidRDefault="00000000" w:rsidP="00F673B1">
            <w:pPr>
              <w:pBdr>
                <w:top w:val="nil"/>
                <w:left w:val="nil"/>
                <w:bottom w:val="nil"/>
                <w:right w:val="nil"/>
                <w:between w:val="nil"/>
              </w:pBdr>
              <w:spacing w:before="120" w:after="120" w:line="275" w:lineRule="auto"/>
              <w:jc w:val="center"/>
              <w:rPr>
                <w:rFonts w:ascii="Google Sans Text" w:eastAsia="Google Sans Text" w:hAnsi="Google Sans Text" w:cs="Google Sans Text"/>
                <w:b/>
                <w:color w:val="FFFFFF" w:themeColor="background1"/>
              </w:rPr>
            </w:pPr>
            <w:r w:rsidRPr="00F673B1">
              <w:rPr>
                <w:rFonts w:ascii="Google Sans Text" w:eastAsia="Google Sans Text" w:hAnsi="Google Sans Text" w:cs="Google Sans Text"/>
                <w:b/>
                <w:color w:val="FFFFFF" w:themeColor="background1"/>
              </w:rPr>
              <w:t>United States</w:t>
            </w:r>
          </w:p>
        </w:tc>
        <w:tc>
          <w:tcPr>
            <w:tcW w:w="1560" w:type="dxa"/>
            <w:shd w:val="clear" w:color="auto" w:fill="1F497D" w:themeFill="text2"/>
          </w:tcPr>
          <w:p w14:paraId="16C482A4" w14:textId="77777777" w:rsidR="0005130B" w:rsidRPr="00F673B1" w:rsidRDefault="00000000" w:rsidP="00F673B1">
            <w:pPr>
              <w:pBdr>
                <w:top w:val="nil"/>
                <w:left w:val="nil"/>
                <w:bottom w:val="nil"/>
                <w:right w:val="nil"/>
                <w:between w:val="nil"/>
              </w:pBdr>
              <w:spacing w:before="120" w:after="120" w:line="275" w:lineRule="auto"/>
              <w:jc w:val="center"/>
              <w:rPr>
                <w:rFonts w:ascii="Google Sans Text" w:eastAsia="Google Sans Text" w:hAnsi="Google Sans Text" w:cs="Google Sans Text"/>
                <w:b/>
                <w:color w:val="FFFFFF" w:themeColor="background1"/>
              </w:rPr>
            </w:pPr>
            <w:r w:rsidRPr="00F673B1">
              <w:rPr>
                <w:rFonts w:ascii="Google Sans Text" w:eastAsia="Google Sans Text" w:hAnsi="Google Sans Text" w:cs="Google Sans Text"/>
                <w:b/>
                <w:color w:val="FFFFFF" w:themeColor="background1"/>
              </w:rPr>
              <w:t>United Kingdom</w:t>
            </w:r>
          </w:p>
        </w:tc>
        <w:tc>
          <w:tcPr>
            <w:tcW w:w="1560" w:type="dxa"/>
            <w:shd w:val="clear" w:color="auto" w:fill="1F497D" w:themeFill="text2"/>
          </w:tcPr>
          <w:p w14:paraId="16C482A5" w14:textId="77777777" w:rsidR="0005130B" w:rsidRPr="00F673B1" w:rsidRDefault="00000000" w:rsidP="00F673B1">
            <w:pPr>
              <w:pBdr>
                <w:top w:val="nil"/>
                <w:left w:val="nil"/>
                <w:bottom w:val="nil"/>
                <w:right w:val="nil"/>
                <w:between w:val="nil"/>
              </w:pBdr>
              <w:spacing w:before="120" w:after="120" w:line="275" w:lineRule="auto"/>
              <w:jc w:val="center"/>
              <w:rPr>
                <w:rFonts w:ascii="Google Sans Text" w:eastAsia="Google Sans Text" w:hAnsi="Google Sans Text" w:cs="Google Sans Text"/>
                <w:b/>
                <w:color w:val="FFFFFF" w:themeColor="background1"/>
              </w:rPr>
            </w:pPr>
            <w:r w:rsidRPr="00F673B1">
              <w:rPr>
                <w:rFonts w:ascii="Google Sans Text" w:eastAsia="Google Sans Text" w:hAnsi="Google Sans Text" w:cs="Google Sans Text"/>
                <w:b/>
                <w:color w:val="FFFFFF" w:themeColor="background1"/>
              </w:rPr>
              <w:t>Singapore</w:t>
            </w:r>
          </w:p>
        </w:tc>
        <w:tc>
          <w:tcPr>
            <w:tcW w:w="1560" w:type="dxa"/>
            <w:shd w:val="clear" w:color="auto" w:fill="1F497D" w:themeFill="text2"/>
          </w:tcPr>
          <w:p w14:paraId="16C482A6" w14:textId="77777777" w:rsidR="0005130B" w:rsidRPr="00F673B1" w:rsidRDefault="00000000" w:rsidP="00F673B1">
            <w:pPr>
              <w:pBdr>
                <w:top w:val="nil"/>
                <w:left w:val="nil"/>
                <w:bottom w:val="nil"/>
                <w:right w:val="nil"/>
                <w:between w:val="nil"/>
              </w:pBdr>
              <w:spacing w:before="120" w:after="120" w:line="275" w:lineRule="auto"/>
              <w:jc w:val="center"/>
              <w:rPr>
                <w:rFonts w:ascii="Google Sans Text" w:eastAsia="Google Sans Text" w:hAnsi="Google Sans Text" w:cs="Google Sans Text"/>
                <w:b/>
                <w:color w:val="FFFFFF" w:themeColor="background1"/>
              </w:rPr>
            </w:pPr>
            <w:r w:rsidRPr="00F673B1">
              <w:rPr>
                <w:rFonts w:ascii="Google Sans Text" w:eastAsia="Google Sans Text" w:hAnsi="Google Sans Text" w:cs="Google Sans Text"/>
                <w:b/>
                <w:color w:val="FFFFFF" w:themeColor="background1"/>
              </w:rPr>
              <w:t>Canada</w:t>
            </w:r>
          </w:p>
        </w:tc>
      </w:tr>
      <w:tr w:rsidR="0005130B" w:rsidRPr="000F465D" w14:paraId="16C482AE" w14:textId="77777777" w:rsidTr="000F465D">
        <w:trPr>
          <w:tblHeader/>
        </w:trPr>
        <w:tc>
          <w:tcPr>
            <w:tcW w:w="1560" w:type="dxa"/>
          </w:tcPr>
          <w:p w14:paraId="16C482A8"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0F465D">
              <w:rPr>
                <w:rFonts w:ascii="Google Sans Text" w:eastAsia="Google Sans Text" w:hAnsi="Google Sans Text" w:cs="Google Sans Text"/>
                <w:b/>
                <w:color w:val="1B1C1D"/>
                <w:sz w:val="20"/>
                <w:szCs w:val="20"/>
              </w:rPr>
              <w:t>Primary Approach</w:t>
            </w:r>
          </w:p>
        </w:tc>
        <w:tc>
          <w:tcPr>
            <w:tcW w:w="1560" w:type="dxa"/>
          </w:tcPr>
          <w:p w14:paraId="16C482A9"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Prescriptive, Horizontal (AI Act) &amp; Sectoral (DORA)</w:t>
            </w:r>
          </w:p>
        </w:tc>
        <w:tc>
          <w:tcPr>
            <w:tcW w:w="1560" w:type="dxa"/>
          </w:tcPr>
          <w:p w14:paraId="16C482AA"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Principles-Based, Sectoral (SR 11-7)</w:t>
            </w:r>
          </w:p>
        </w:tc>
        <w:tc>
          <w:tcPr>
            <w:tcW w:w="1560" w:type="dxa"/>
          </w:tcPr>
          <w:p w14:paraId="16C482AB"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Principles-Based, Sectoral</w:t>
            </w:r>
          </w:p>
        </w:tc>
        <w:tc>
          <w:tcPr>
            <w:tcW w:w="1560" w:type="dxa"/>
          </w:tcPr>
          <w:p w14:paraId="16C482AC"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Principles-Based, Sectoral</w:t>
            </w:r>
          </w:p>
        </w:tc>
        <w:tc>
          <w:tcPr>
            <w:tcW w:w="1560" w:type="dxa"/>
          </w:tcPr>
          <w:p w14:paraId="16C482AD"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Principles-Based, Sectoral</w:t>
            </w:r>
          </w:p>
        </w:tc>
      </w:tr>
      <w:tr w:rsidR="0005130B" w:rsidRPr="000F465D" w14:paraId="16C482B5" w14:textId="77777777" w:rsidTr="000F465D">
        <w:trPr>
          <w:tblHeader/>
        </w:trPr>
        <w:tc>
          <w:tcPr>
            <w:tcW w:w="1560" w:type="dxa"/>
          </w:tcPr>
          <w:p w14:paraId="16C482AF"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0F465D">
              <w:rPr>
                <w:rFonts w:ascii="Google Sans Text" w:eastAsia="Google Sans Text" w:hAnsi="Google Sans Text" w:cs="Google Sans Text"/>
                <w:b/>
                <w:color w:val="1B1C1D"/>
                <w:sz w:val="20"/>
                <w:szCs w:val="20"/>
              </w:rPr>
              <w:t>Key Legislation/Guidance</w:t>
            </w:r>
          </w:p>
        </w:tc>
        <w:tc>
          <w:tcPr>
            <w:tcW w:w="1560" w:type="dxa"/>
          </w:tcPr>
          <w:p w14:paraId="16C482B0"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AI Act, DORA</w:t>
            </w:r>
          </w:p>
        </w:tc>
        <w:tc>
          <w:tcPr>
            <w:tcW w:w="1560" w:type="dxa"/>
          </w:tcPr>
          <w:p w14:paraId="16C482B1"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SR 11-7, Fair Lending Laws, Pending Bills</w:t>
            </w:r>
          </w:p>
        </w:tc>
        <w:tc>
          <w:tcPr>
            <w:tcW w:w="1560" w:type="dxa"/>
          </w:tcPr>
          <w:p w14:paraId="16C482B2"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SMCR, Consumer Duty, Operational Resilience Rules</w:t>
            </w:r>
          </w:p>
        </w:tc>
        <w:tc>
          <w:tcPr>
            <w:tcW w:w="1560" w:type="dxa"/>
          </w:tcPr>
          <w:p w14:paraId="16C482B3"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FEAT Principles, MRM Guidelines</w:t>
            </w:r>
          </w:p>
        </w:tc>
        <w:tc>
          <w:tcPr>
            <w:tcW w:w="1560" w:type="dxa"/>
          </w:tcPr>
          <w:p w14:paraId="16C482B4"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Guideline E-23 (Model Risk), EDGE Principles</w:t>
            </w:r>
          </w:p>
        </w:tc>
      </w:tr>
      <w:tr w:rsidR="0005130B" w:rsidRPr="000F465D" w14:paraId="16C482BC" w14:textId="77777777" w:rsidTr="000F465D">
        <w:trPr>
          <w:tblHeader/>
        </w:trPr>
        <w:tc>
          <w:tcPr>
            <w:tcW w:w="1560" w:type="dxa"/>
          </w:tcPr>
          <w:p w14:paraId="16C482B6"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0F465D">
              <w:rPr>
                <w:rFonts w:ascii="Google Sans Text" w:eastAsia="Google Sans Text" w:hAnsi="Google Sans Text" w:cs="Google Sans Text"/>
                <w:b/>
                <w:color w:val="1B1C1D"/>
                <w:sz w:val="20"/>
                <w:szCs w:val="20"/>
              </w:rPr>
              <w:t>Model Risk Governance</w:t>
            </w:r>
          </w:p>
        </w:tc>
        <w:tc>
          <w:tcPr>
            <w:tcW w:w="1560" w:type="dxa"/>
          </w:tcPr>
          <w:p w14:paraId="16C482B7"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Mandated via AI Act for High-Risk Systems</w:t>
            </w:r>
          </w:p>
        </w:tc>
        <w:tc>
          <w:tcPr>
            <w:tcW w:w="1560" w:type="dxa"/>
          </w:tcPr>
          <w:p w14:paraId="16C482B8"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Comprehensive SR 11-7 Framework</w:t>
            </w:r>
          </w:p>
        </w:tc>
        <w:tc>
          <w:tcPr>
            <w:tcW w:w="1560" w:type="dxa"/>
          </w:tcPr>
          <w:p w14:paraId="16C482B9"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SMCR (Individual Accountability)</w:t>
            </w:r>
          </w:p>
        </w:tc>
        <w:tc>
          <w:tcPr>
            <w:tcW w:w="1560" w:type="dxa"/>
          </w:tcPr>
          <w:p w14:paraId="16C482BA"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FEAT (Internal &amp; External Accountability)</w:t>
            </w:r>
          </w:p>
        </w:tc>
        <w:tc>
          <w:tcPr>
            <w:tcW w:w="1560" w:type="dxa"/>
          </w:tcPr>
          <w:p w14:paraId="16C482BB"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EDGE (Holistic Governance)</w:t>
            </w:r>
          </w:p>
        </w:tc>
      </w:tr>
      <w:tr w:rsidR="0005130B" w:rsidRPr="000F465D" w14:paraId="16C482C3" w14:textId="77777777" w:rsidTr="000F465D">
        <w:trPr>
          <w:tblHeader/>
        </w:trPr>
        <w:tc>
          <w:tcPr>
            <w:tcW w:w="1560" w:type="dxa"/>
          </w:tcPr>
          <w:p w14:paraId="16C482BD"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0F465D">
              <w:rPr>
                <w:rFonts w:ascii="Google Sans Text" w:eastAsia="Google Sans Text" w:hAnsi="Google Sans Text" w:cs="Google Sans Text"/>
                <w:b/>
                <w:color w:val="1B1C1D"/>
                <w:sz w:val="20"/>
                <w:szCs w:val="20"/>
              </w:rPr>
              <w:t>Bias &amp; Fairness</w:t>
            </w:r>
          </w:p>
        </w:tc>
        <w:tc>
          <w:tcPr>
            <w:tcW w:w="1560" w:type="dxa"/>
          </w:tcPr>
          <w:p w14:paraId="16C482BE"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Explicit data governance &amp; bias mitigation requirements in AI Act</w:t>
            </w:r>
          </w:p>
        </w:tc>
        <w:tc>
          <w:tcPr>
            <w:tcW w:w="1560" w:type="dxa"/>
          </w:tcPr>
          <w:p w14:paraId="16C482BF"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Extension of Equal Credit Opportunity Act; SR 11-7 validation principles</w:t>
            </w:r>
          </w:p>
        </w:tc>
        <w:tc>
          <w:tcPr>
            <w:tcW w:w="1560" w:type="dxa"/>
          </w:tcPr>
          <w:p w14:paraId="16C482C0"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Consumer Duty (Requirement for Fair Outcomes)</w:t>
            </w:r>
          </w:p>
        </w:tc>
        <w:tc>
          <w:tcPr>
            <w:tcW w:w="1560" w:type="dxa"/>
          </w:tcPr>
          <w:p w14:paraId="16C482C1"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FEAT (Justifiability, Accuracy &amp; Bias Principles)</w:t>
            </w:r>
          </w:p>
        </w:tc>
        <w:tc>
          <w:tcPr>
            <w:tcW w:w="1560" w:type="dxa"/>
          </w:tcPr>
          <w:p w14:paraId="16C482C2"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EDGE (Ethics Principle)</w:t>
            </w:r>
          </w:p>
        </w:tc>
      </w:tr>
      <w:tr w:rsidR="0005130B" w:rsidRPr="000F465D" w14:paraId="16C482CA" w14:textId="77777777" w:rsidTr="000F465D">
        <w:trPr>
          <w:tblHeader/>
        </w:trPr>
        <w:tc>
          <w:tcPr>
            <w:tcW w:w="1560" w:type="dxa"/>
          </w:tcPr>
          <w:p w14:paraId="16C482C4"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0F465D">
              <w:rPr>
                <w:rFonts w:ascii="Google Sans Text" w:eastAsia="Google Sans Text" w:hAnsi="Google Sans Text" w:cs="Google Sans Text"/>
                <w:b/>
                <w:color w:val="1B1C1D"/>
                <w:sz w:val="20"/>
                <w:szCs w:val="20"/>
              </w:rPr>
              <w:t>Operational Resilience</w:t>
            </w:r>
          </w:p>
        </w:tc>
        <w:tc>
          <w:tcPr>
            <w:tcW w:w="1560" w:type="dxa"/>
          </w:tcPr>
          <w:p w14:paraId="16C482C5"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DORA (Comprehensive ICT Risk Framework)</w:t>
            </w:r>
          </w:p>
        </w:tc>
        <w:tc>
          <w:tcPr>
            <w:tcW w:w="1560" w:type="dxa"/>
          </w:tcPr>
          <w:p w14:paraId="16C482C6"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Supervisory Expectations (e.g., via FFIEC)</w:t>
            </w:r>
          </w:p>
        </w:tc>
        <w:tc>
          <w:tcPr>
            <w:tcW w:w="1560" w:type="dxa"/>
          </w:tcPr>
          <w:p w14:paraId="16C482C7"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FCA/PRA Operational Resilience Framework</w:t>
            </w:r>
          </w:p>
        </w:tc>
        <w:tc>
          <w:tcPr>
            <w:tcW w:w="1560" w:type="dxa"/>
          </w:tcPr>
          <w:p w14:paraId="16C482C8"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MAS Technology Risk Management Guidelines</w:t>
            </w:r>
          </w:p>
        </w:tc>
        <w:tc>
          <w:tcPr>
            <w:tcW w:w="1560" w:type="dxa"/>
          </w:tcPr>
          <w:p w14:paraId="16C482C9"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OSFI Guideline B-13 (Tech &amp; Cyber Risk)</w:t>
            </w:r>
          </w:p>
        </w:tc>
      </w:tr>
      <w:tr w:rsidR="0005130B" w:rsidRPr="000F465D" w14:paraId="16C482D1" w14:textId="77777777" w:rsidTr="000F465D">
        <w:trPr>
          <w:tblHeader/>
        </w:trPr>
        <w:tc>
          <w:tcPr>
            <w:tcW w:w="1560" w:type="dxa"/>
          </w:tcPr>
          <w:p w14:paraId="16C482CB"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0F465D">
              <w:rPr>
                <w:rFonts w:ascii="Google Sans Text" w:eastAsia="Google Sans Text" w:hAnsi="Google Sans Text" w:cs="Google Sans Text"/>
                <w:b/>
                <w:color w:val="1B1C1D"/>
                <w:sz w:val="20"/>
                <w:szCs w:val="20"/>
              </w:rPr>
              <w:t>Third-Party Risk</w:t>
            </w:r>
          </w:p>
        </w:tc>
        <w:tc>
          <w:tcPr>
            <w:tcW w:w="1560" w:type="dxa"/>
          </w:tcPr>
          <w:p w14:paraId="16C482CC"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DORA (Oversight of Critical ICT Providers); AI Act (Obligations for Providers)</w:t>
            </w:r>
          </w:p>
        </w:tc>
        <w:tc>
          <w:tcPr>
            <w:tcW w:w="1560" w:type="dxa"/>
          </w:tcPr>
          <w:p w14:paraId="16C482CD"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OCC/Fed Vendor Management Guidance</w:t>
            </w:r>
          </w:p>
        </w:tc>
        <w:tc>
          <w:tcPr>
            <w:tcW w:w="1560" w:type="dxa"/>
          </w:tcPr>
          <w:p w14:paraId="16C482CE"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FCA/PRA Outsourcing &amp; Third-Party Risk Rules</w:t>
            </w:r>
          </w:p>
        </w:tc>
        <w:tc>
          <w:tcPr>
            <w:tcW w:w="1560" w:type="dxa"/>
          </w:tcPr>
          <w:p w14:paraId="16C482CF"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MAS Outsourcing &amp; TRM Guidelines</w:t>
            </w:r>
          </w:p>
        </w:tc>
        <w:tc>
          <w:tcPr>
            <w:tcW w:w="1560" w:type="dxa"/>
          </w:tcPr>
          <w:p w14:paraId="16C482D0"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OSFI Guideline B-10 (Outsourcing)</w:t>
            </w:r>
          </w:p>
        </w:tc>
      </w:tr>
      <w:tr w:rsidR="0005130B" w:rsidRPr="000F465D" w14:paraId="16C482D8" w14:textId="77777777" w:rsidTr="000F465D">
        <w:trPr>
          <w:tblHeader/>
        </w:trPr>
        <w:tc>
          <w:tcPr>
            <w:tcW w:w="1560" w:type="dxa"/>
          </w:tcPr>
          <w:p w14:paraId="16C482D2"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20"/>
                <w:szCs w:val="20"/>
              </w:rPr>
            </w:pPr>
            <w:r w:rsidRPr="000F465D">
              <w:rPr>
                <w:rFonts w:ascii="Google Sans Text" w:eastAsia="Google Sans Text" w:hAnsi="Google Sans Text" w:cs="Google Sans Text"/>
                <w:b/>
                <w:color w:val="1B1C1D"/>
                <w:sz w:val="20"/>
                <w:szCs w:val="20"/>
              </w:rPr>
              <w:t>Regulatory Tone</w:t>
            </w:r>
          </w:p>
        </w:tc>
        <w:tc>
          <w:tcPr>
            <w:tcW w:w="1560" w:type="dxa"/>
          </w:tcPr>
          <w:p w14:paraId="16C482D3"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 xml:space="preserve">Proactive, Harmonizing, </w:t>
            </w:r>
            <w:proofErr w:type="gramStart"/>
            <w:r w:rsidRPr="000F465D">
              <w:rPr>
                <w:rFonts w:ascii="Google Sans Text" w:eastAsia="Google Sans Text" w:hAnsi="Google Sans Text" w:cs="Google Sans Text"/>
                <w:color w:val="1B1C1D"/>
                <w:sz w:val="20"/>
                <w:szCs w:val="20"/>
              </w:rPr>
              <w:t>Rule-Making</w:t>
            </w:r>
            <w:proofErr w:type="gramEnd"/>
          </w:p>
        </w:tc>
        <w:tc>
          <w:tcPr>
            <w:tcW w:w="1560" w:type="dxa"/>
          </w:tcPr>
          <w:p w14:paraId="16C482D4"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Reactive, Fragmented, Guidance-Based</w:t>
            </w:r>
          </w:p>
        </w:tc>
        <w:tc>
          <w:tcPr>
            <w:tcW w:w="1560" w:type="dxa"/>
          </w:tcPr>
          <w:p w14:paraId="16C482D5"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Outcomes-Focused, Accountability-Driven</w:t>
            </w:r>
          </w:p>
        </w:tc>
        <w:tc>
          <w:tcPr>
            <w:tcW w:w="1560" w:type="dxa"/>
          </w:tcPr>
          <w:p w14:paraId="16C482D6"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Collaborative, Proactive, Guidance-Based</w:t>
            </w:r>
          </w:p>
        </w:tc>
        <w:tc>
          <w:tcPr>
            <w:tcW w:w="1560" w:type="dxa"/>
          </w:tcPr>
          <w:p w14:paraId="16C482D7" w14:textId="77777777" w:rsidR="0005130B" w:rsidRPr="000F465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20"/>
                <w:szCs w:val="20"/>
              </w:rPr>
            </w:pPr>
            <w:r w:rsidRPr="000F465D">
              <w:rPr>
                <w:rFonts w:ascii="Google Sans Text" w:eastAsia="Google Sans Text" w:hAnsi="Google Sans Text" w:cs="Google Sans Text"/>
                <w:color w:val="1B1C1D"/>
                <w:sz w:val="20"/>
                <w:szCs w:val="20"/>
              </w:rPr>
              <w:t>Collaborative, Principles-Based</w:t>
            </w:r>
          </w:p>
        </w:tc>
      </w:tr>
    </w:tbl>
    <w:p w14:paraId="16C482D9" w14:textId="4E90601D" w:rsidR="0005130B" w:rsidRDefault="0005130B">
      <w:pPr>
        <w:pBdr>
          <w:top w:val="nil"/>
          <w:left w:val="nil"/>
          <w:bottom w:val="nil"/>
          <w:right w:val="nil"/>
          <w:between w:val="nil"/>
        </w:pBdr>
        <w:spacing w:before="120" w:after="240" w:line="275" w:lineRule="auto"/>
        <w:rPr>
          <w:rFonts w:ascii="Google Sans Text" w:eastAsia="Google Sans Text" w:hAnsi="Google Sans Text" w:cs="Google Sans Text"/>
          <w:color w:val="1B1C1D"/>
        </w:rPr>
      </w:pPr>
    </w:p>
    <w:p w14:paraId="16C482DA" w14:textId="77777777" w:rsidR="0005130B" w:rsidRDefault="00000000">
      <w:pPr>
        <w:pStyle w:val="Heading2"/>
        <w:spacing w:before="0" w:after="120" w:line="275" w:lineRule="auto"/>
        <w:rPr>
          <w:rFonts w:ascii="Google Sans" w:eastAsia="Google Sans" w:hAnsi="Google Sans" w:cs="Google Sans"/>
          <w:color w:val="1B1C1D"/>
        </w:rPr>
      </w:pPr>
      <w:r>
        <w:rPr>
          <w:rFonts w:ascii="Google Sans" w:eastAsia="Google Sans" w:hAnsi="Google Sans" w:cs="Google Sans"/>
          <w:color w:val="1B1C1D"/>
        </w:rPr>
        <w:lastRenderedPageBreak/>
        <w:t>Section 4: Strategic Implications and Forward-Looking Recommendations</w:t>
      </w:r>
    </w:p>
    <w:p w14:paraId="16C482DC"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analysis of the global AI regulatory landscape reveals a complex and diverging environment that presents significant strategic challenges for multinational financial institutions. Navigating this terrain requires moving beyond reactive, jurisdiction-by-jurisdiction compliance towards a proactive, adaptable, and globally coherent governance strategy.</w:t>
      </w:r>
    </w:p>
    <w:p w14:paraId="16C482DD"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DE" w14:textId="77777777" w:rsidR="0005130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4.1. Navigating Regulatory Divergence: Building a Global Compliance Framework</w:t>
      </w:r>
    </w:p>
    <w:p w14:paraId="16C482E0" w14:textId="77777777" w:rsidR="0005130B" w:rsidRDefault="0005130B">
      <w:pPr>
        <w:pBdr>
          <w:top w:val="nil"/>
          <w:left w:val="nil"/>
          <w:bottom w:val="nil"/>
          <w:right w:val="nil"/>
          <w:between w:val="nil"/>
        </w:pBdr>
        <w:spacing w:after="240" w:line="275" w:lineRule="auto"/>
        <w:rPr>
          <w:rFonts w:ascii="Google Sans" w:eastAsia="Google Sans" w:hAnsi="Google Sans" w:cs="Google Sans"/>
          <w:color w:val="1B1C1D"/>
        </w:rPr>
      </w:pPr>
    </w:p>
    <w:p w14:paraId="16C482E1"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The Challenge of a Unified Standard</w:t>
      </w:r>
    </w:p>
    <w:p w14:paraId="16C482E3"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profound philosophical divergence between the EU's prescriptive, process-oriented model and the principles-based, outcomes-focused approach favored elsewhere makes a "one-size-fits-all" global AI governance policy untenable. A single, monolithic policy would either be too generic to satisfy the detailed requirements of the EU AI Act or too rigid and burdensome for the more flexible regulatory environments in the US and UK. Attempting to apply the EU's prescriptive standards globally could stifle innovation in jurisdictions that explicitly seek to foster it.</w:t>
      </w:r>
    </w:p>
    <w:p w14:paraId="16C482E4"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22AD8A09" w14:textId="77777777" w:rsidR="000F465D" w:rsidRDefault="000F465D">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E5"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A "Federalized" Governance Model</w:t>
      </w:r>
    </w:p>
    <w:p w14:paraId="16C482E7"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more effective and resilient strategy is to adopt a "federalized" or "core and spoke" governance model. This approach balances the need for global consistency with the necessity of local regulatory adherence.</w:t>
      </w:r>
    </w:p>
    <w:p w14:paraId="16C482E8" w14:textId="77777777" w:rsidR="0005130B"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color w:val="1B1C1D"/>
        </w:rPr>
        <w:t>The Core:</w:t>
      </w:r>
      <w:r>
        <w:rPr>
          <w:rFonts w:ascii="Google Sans Text" w:eastAsia="Google Sans Text" w:hAnsi="Google Sans Text" w:cs="Google Sans Text"/>
          <w:color w:val="1B1C1D"/>
        </w:rPr>
        <w:t xml:space="preserve"> A central, group-level AI governance function is responsible for establishing universal, high-level principles and minimum standards. This "core" policy should be based on a synthesis of the most stringent requirements from across all operating jurisdictions. For instance, a firm might adopt the EU AI Act's demanding data governance and bias mitigation standards as its global baseline, ensuring that all models, regardless of where they are developed, meet a high bar for data quality and fairness.</w:t>
      </w:r>
    </w:p>
    <w:p w14:paraId="16C482E9" w14:textId="77777777" w:rsidR="0005130B"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color w:val="1B1C1D"/>
        </w:rPr>
        <w:t>The Spokes:</w:t>
      </w:r>
      <w:r>
        <w:rPr>
          <w:rFonts w:ascii="Google Sans Text" w:eastAsia="Google Sans Text" w:hAnsi="Google Sans Text" w:cs="Google Sans Text"/>
          <w:color w:val="1B1C1D"/>
        </w:rPr>
        <w:t xml:space="preserve"> Regional or country-level compliance and risk teams are then empowered to adapt and implement this core policy through specific, localized addenda and procedures. These "spokes" would cater to the unique demands of local regulations. For example, the UK business unit would have a specific addendum detailing how AI </w:t>
      </w:r>
      <w:r>
        <w:rPr>
          <w:rFonts w:ascii="Google Sans Text" w:eastAsia="Google Sans Text" w:hAnsi="Google Sans Text" w:cs="Google Sans Text"/>
          <w:color w:val="1B1C1D"/>
        </w:rPr>
        <w:lastRenderedPageBreak/>
        <w:t>accountability maps to named individuals under the SMCR. The EU unit would have a detailed addendum with checklists and procedures for demonstrating compliance with the high-risk requirements of the AI Act. This model provides both global consistency and local flexibility, allowing the institution to operate effectively across divergent regulatory regimes.</w:t>
      </w:r>
    </w:p>
    <w:p w14:paraId="16C482EA" w14:textId="77777777" w:rsidR="0005130B" w:rsidRDefault="0005130B">
      <w:pPr>
        <w:pBdr>
          <w:top w:val="nil"/>
          <w:left w:val="nil"/>
          <w:bottom w:val="nil"/>
          <w:right w:val="nil"/>
          <w:between w:val="nil"/>
        </w:pBdr>
        <w:spacing w:before="240" w:after="240" w:line="275" w:lineRule="auto"/>
        <w:rPr>
          <w:rFonts w:ascii="Google Sans Text" w:eastAsia="Google Sans Text" w:hAnsi="Google Sans Text" w:cs="Google Sans Text"/>
          <w:color w:val="1B1C1D"/>
        </w:rPr>
      </w:pPr>
    </w:p>
    <w:p w14:paraId="16C482EB" w14:textId="77777777" w:rsidR="0005130B" w:rsidRDefault="00000000">
      <w:pPr>
        <w:pStyle w:val="Heading4"/>
        <w:spacing w:before="0" w:after="120" w:line="275" w:lineRule="auto"/>
        <w:rPr>
          <w:rFonts w:ascii="Google Sans" w:eastAsia="Google Sans" w:hAnsi="Google Sans" w:cs="Google Sans"/>
          <w:color w:val="1B1C1D"/>
        </w:rPr>
      </w:pPr>
      <w:r>
        <w:rPr>
          <w:rFonts w:ascii="Google Sans" w:eastAsia="Google Sans" w:hAnsi="Google Sans" w:cs="Google Sans"/>
          <w:color w:val="1B1C1D"/>
        </w:rPr>
        <w:t>Strategic Vendor Management</w:t>
      </w:r>
    </w:p>
    <w:p w14:paraId="16C482ED" w14:textId="77777777" w:rsidR="0005130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Given the heavy reliance on third-party providers in the AI ecosystem, a sophisticated vendor risk management program is essential. This program must be capable of assessing a single vendor against multiple, overlapping regulatory standards simultaneously. For a major cloud provider, the assessment would need to cover its obligations as a "Critical ICT Provider" under DORA, its potential role as a "provider" of a high-risk AI system under the AI Act, and its adherence to vendor management guidance from U.S. regulators. This requires a multi-faceted due diligence process and contractual agreements that provide the necessary audit rights and protections to satisfy the most demanding of these regulations.</w:t>
      </w:r>
    </w:p>
    <w:p w14:paraId="16C482EE" w14:textId="77777777" w:rsidR="0005130B" w:rsidRDefault="0005130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16C482EF" w14:textId="77777777" w:rsidR="0005130B" w:rsidRDefault="00000000">
      <w:pPr>
        <w:pStyle w:val="Heading3"/>
        <w:spacing w:before="0" w:after="120" w:line="275" w:lineRule="auto"/>
        <w:rPr>
          <w:rFonts w:ascii="Google Sans" w:eastAsia="Google Sans" w:hAnsi="Google Sans" w:cs="Google Sans"/>
          <w:color w:val="1B1C1D"/>
        </w:rPr>
      </w:pPr>
      <w:r>
        <w:rPr>
          <w:rFonts w:ascii="Google Sans" w:eastAsia="Google Sans" w:hAnsi="Google Sans" w:cs="Google Sans"/>
          <w:color w:val="1B1C1D"/>
        </w:rPr>
        <w:t>4.2. The Future of AI Regulation in Finance: Emerging Trends and Projections</w:t>
      </w:r>
    </w:p>
    <w:p w14:paraId="16C482F1" w14:textId="77777777" w:rsidR="0005130B" w:rsidRDefault="00000000">
      <w:pPr>
        <w:pBdr>
          <w:top w:val="nil"/>
          <w:left w:val="nil"/>
          <w:bottom w:val="nil"/>
          <w:right w:val="nil"/>
          <w:between w:val="nil"/>
        </w:pBdr>
        <w:spacing w:after="12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The current regulatory landscape is not static. Financial institutions must anticipate the next wave of supervisory focus to remain ahead of the compliance curve.</w:t>
      </w:r>
    </w:p>
    <w:p w14:paraId="16C482F2" w14:textId="77777777" w:rsidR="0005130B"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The Next Frontier: Generative AI:</w:t>
      </w:r>
      <w:r>
        <w:rPr>
          <w:rFonts w:ascii="Google Sans Text" w:eastAsia="Google Sans Text" w:hAnsi="Google Sans Text" w:cs="Google Sans Text"/>
          <w:color w:val="1B1C1D"/>
        </w:rPr>
        <w:t xml:space="preserve"> To date, much of the regulatory focus has been on predictive AI used in structured decision-making like credit scoring. The next frontier for regulators will undoubtedly be the unique risks posed by Generative AI and Large Language Models (LLMs). Supervisory attention is likely to shift towards issues such as the privacy implications of training models on vast datasets, the potential for "model hallucinations" to generate inaccurate or misleading information that could impact customers or market stability, and the challenges of ensuring data security and intellectual property compliance.</w:t>
      </w:r>
      <w:r>
        <w:rPr>
          <w:rFonts w:ascii="Google Sans Text" w:eastAsia="Google Sans Text" w:hAnsi="Google Sans Text" w:cs="Google Sans Text"/>
          <w:color w:val="444746"/>
          <w:sz w:val="24"/>
          <w:szCs w:val="24"/>
          <w:vertAlign w:val="superscript"/>
        </w:rPr>
        <w:t>30</w:t>
      </w:r>
      <w:r>
        <w:rPr>
          <w:rFonts w:ascii="Google Sans Text" w:eastAsia="Google Sans Text" w:hAnsi="Google Sans Text" w:cs="Google Sans Text"/>
          <w:color w:val="1B1C1D"/>
        </w:rPr>
        <w:t xml:space="preserve"> Firms should begin proactively developing governance frameworks specifically for the use of generative AI.</w:t>
      </w:r>
    </w:p>
    <w:p w14:paraId="16C482F3" w14:textId="77777777" w:rsidR="0005130B"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color w:val="1B1C1D"/>
        </w:rPr>
        <w:t>Convergence on Explainability (XAI):</w:t>
      </w:r>
      <w:r>
        <w:rPr>
          <w:rFonts w:ascii="Google Sans Text" w:eastAsia="Google Sans Text" w:hAnsi="Google Sans Text" w:cs="Google Sans Text"/>
          <w:color w:val="1B1C1D"/>
        </w:rPr>
        <w:t xml:space="preserve"> Despite their different overarching philosophies, a clear trend of convergence is emerging around the demand for greater model transparency and explainability. Whether it is to satisfy the "effective challenge" mandate of SR 11-7, the transparency requirements of the EU AI Act, or the fairness principles of the FCA and MAS, regulators globally are intensifying their expectations that firms can explain how their models work and why they produce certain outcomes.</w:t>
      </w:r>
      <w:r>
        <w:rPr>
          <w:rFonts w:ascii="Google Sans Text" w:eastAsia="Google Sans Text" w:hAnsi="Google Sans Text" w:cs="Google Sans Text"/>
          <w:color w:val="444746"/>
          <w:sz w:val="24"/>
          <w:szCs w:val="24"/>
          <w:vertAlign w:val="superscript"/>
        </w:rPr>
        <w:t>52</w:t>
      </w:r>
      <w:r>
        <w:rPr>
          <w:rFonts w:ascii="Google Sans Text" w:eastAsia="Google Sans Text" w:hAnsi="Google Sans Text" w:cs="Google Sans Text"/>
          <w:color w:val="1B1C1D"/>
        </w:rPr>
        <w:t xml:space="preserve"> Investing in Explainable AI (XAI) techniques and building a culture of transparency is no longer optional; it is becoming a global standard of best practice and a key supervisory expectation.</w:t>
      </w:r>
    </w:p>
    <w:p w14:paraId="16C482F4" w14:textId="77777777" w:rsidR="0005130B"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color w:val="1B1C1D"/>
        </w:rPr>
        <w:lastRenderedPageBreak/>
        <w:t>Proactive Engagement as a Strategic Imperative:</w:t>
      </w:r>
      <w:r>
        <w:rPr>
          <w:rFonts w:ascii="Google Sans Text" w:eastAsia="Google Sans Text" w:hAnsi="Google Sans Text" w:cs="Google Sans Text"/>
          <w:color w:val="1B1C1D"/>
        </w:rPr>
        <w:t xml:space="preserve"> In a rapidly evolving technological and regulatory environment, a purely reactive compliance posture is a recipe for failure. The most successful institutions will be those that engage proactively with regulators to help shape the future of AI governance. This means actively participating in initiatives like the proposed U.S. AI Innovation Labs </w:t>
      </w:r>
      <w:r>
        <w:rPr>
          <w:rFonts w:ascii="Google Sans Text" w:eastAsia="Google Sans Text" w:hAnsi="Google Sans Text" w:cs="Google Sans Text"/>
          <w:color w:val="444746"/>
          <w:sz w:val="24"/>
          <w:szCs w:val="24"/>
          <w:vertAlign w:val="superscript"/>
        </w:rPr>
        <w:t>34</w:t>
      </w:r>
      <w:r>
        <w:rPr>
          <w:rFonts w:ascii="Google Sans Text" w:eastAsia="Google Sans Text" w:hAnsi="Google Sans Text" w:cs="Google Sans Text"/>
          <w:color w:val="1B1C1D"/>
        </w:rPr>
        <w:t xml:space="preserve">, the FCA's AI Lab and Digital Sandbox </w:t>
      </w:r>
      <w:r>
        <w:rPr>
          <w:rFonts w:ascii="Google Sans Text" w:eastAsia="Google Sans Text" w:hAnsi="Google Sans Text" w:cs="Google Sans Text"/>
          <w:color w:val="444746"/>
          <w:sz w:val="24"/>
          <w:szCs w:val="24"/>
          <w:vertAlign w:val="superscript"/>
        </w:rPr>
        <w:t>42</w:t>
      </w:r>
      <w:r>
        <w:rPr>
          <w:rFonts w:ascii="Google Sans Text" w:eastAsia="Google Sans Text" w:hAnsi="Google Sans Text" w:cs="Google Sans Text"/>
          <w:color w:val="1B1C1D"/>
        </w:rPr>
        <w:t>, and industry consortiums. Such engagement not only allows firms to test innovations in a safe environment but also provides a crucial opportunity to educate supervisors on the practical realities of deploying AI. This collaboration can lead to more practical, effective, and innovation-friendly regulation, and it demonstrates to supervisors a mature culture of responsible innovation, which is itself a powerful risk mitigator.</w:t>
      </w:r>
    </w:p>
    <w:p w14:paraId="16C482F5" w14:textId="77777777" w:rsidR="0005130B" w:rsidRDefault="00000000">
      <w:pPr>
        <w:pStyle w:val="Heading4"/>
        <w:rPr>
          <w:rFonts w:ascii="Google Sans" w:eastAsia="Google Sans" w:hAnsi="Google Sans" w:cs="Google Sans"/>
        </w:rPr>
      </w:pPr>
      <w:r>
        <w:rPr>
          <w:rFonts w:ascii="Google Sans" w:eastAsia="Google Sans" w:hAnsi="Google Sans" w:cs="Google Sans"/>
        </w:rPr>
        <w:t>Works cited</w:t>
      </w:r>
    </w:p>
    <w:p w14:paraId="16C482F6"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What is SR 11-7 Guidance on Model Risk Management? - CIMCON Software, accessed October 24, 2025, </w:t>
      </w:r>
      <w:hyperlink r:id="rId7">
        <w:r>
          <w:rPr>
            <w:rFonts w:ascii="Google Sans" w:eastAsia="Google Sans" w:hAnsi="Google Sans" w:cs="Google Sans"/>
            <w:color w:val="0000EE"/>
            <w:sz w:val="24"/>
            <w:szCs w:val="24"/>
            <w:u w:val="single"/>
          </w:rPr>
          <w:t>https://cimcon.com/use-cases/what-is-sr-11-7-guidance-on-model-risk-management/</w:t>
        </w:r>
      </w:hyperlink>
    </w:p>
    <w:p w14:paraId="16C482F7"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Fed - Supervisory Letter SR 11-7 on guidance on Model Risk Management -- April 4, 2011 - Federal Reserve Board, accessed October 24, 2025, </w:t>
      </w:r>
      <w:hyperlink r:id="rId8">
        <w:r>
          <w:rPr>
            <w:rFonts w:ascii="Google Sans" w:eastAsia="Google Sans" w:hAnsi="Google Sans" w:cs="Google Sans"/>
            <w:color w:val="0000EE"/>
            <w:sz w:val="24"/>
            <w:szCs w:val="24"/>
            <w:u w:val="single"/>
          </w:rPr>
          <w:t>https://www.federalreserve.gov/supervisionreg/srletters/sr1107.htm</w:t>
        </w:r>
      </w:hyperlink>
    </w:p>
    <w:p w14:paraId="16C482F8"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How Model Risk Management (MRM) Teams Can Comply with SR 11-7 - </w:t>
      </w:r>
      <w:proofErr w:type="spellStart"/>
      <w:r>
        <w:rPr>
          <w:rFonts w:ascii="Google Sans" w:eastAsia="Google Sans" w:hAnsi="Google Sans" w:cs="Google Sans"/>
          <w:sz w:val="24"/>
          <w:szCs w:val="24"/>
        </w:rPr>
        <w:t>ValidMind</w:t>
      </w:r>
      <w:proofErr w:type="spellEnd"/>
      <w:r>
        <w:rPr>
          <w:rFonts w:ascii="Google Sans" w:eastAsia="Google Sans" w:hAnsi="Google Sans" w:cs="Google Sans"/>
          <w:sz w:val="24"/>
          <w:szCs w:val="24"/>
        </w:rPr>
        <w:t xml:space="preserve"> | AI, accessed October 24, 2025, </w:t>
      </w:r>
      <w:hyperlink r:id="rId9">
        <w:r>
          <w:rPr>
            <w:rFonts w:ascii="Google Sans" w:eastAsia="Google Sans" w:hAnsi="Google Sans" w:cs="Google Sans"/>
            <w:color w:val="0000EE"/>
            <w:sz w:val="24"/>
            <w:szCs w:val="24"/>
            <w:u w:val="single"/>
          </w:rPr>
          <w:t>https://validmind.com/blog/sr-11-7-model-risk-management-compliance/</w:t>
        </w:r>
      </w:hyperlink>
    </w:p>
    <w:p w14:paraId="16C482F9"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RMA Journal | Risk Management News, accessed October 24, 2025, </w:t>
      </w:r>
      <w:hyperlink r:id="rId10">
        <w:r>
          <w:rPr>
            <w:rFonts w:ascii="Google Sans" w:eastAsia="Google Sans" w:hAnsi="Google Sans" w:cs="Google Sans"/>
            <w:color w:val="0000EE"/>
            <w:sz w:val="24"/>
            <w:szCs w:val="24"/>
            <w:u w:val="single"/>
          </w:rPr>
          <w:t>https://www.rmahq.org/the-rma-journal/in-the-next-rma-journal-digital-edition?page=106</w:t>
        </w:r>
      </w:hyperlink>
    </w:p>
    <w:p w14:paraId="16C482FA"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How to Comply with SR 11-7: Guidance on Model Risk Management - Krista AI, accessed October 24, 2025, </w:t>
      </w:r>
      <w:hyperlink r:id="rId11">
        <w:r>
          <w:rPr>
            <w:rFonts w:ascii="Google Sans" w:eastAsia="Google Sans" w:hAnsi="Google Sans" w:cs="Google Sans"/>
            <w:color w:val="0000EE"/>
            <w:sz w:val="24"/>
            <w:szCs w:val="24"/>
            <w:u w:val="single"/>
          </w:rPr>
          <w:t>https://krista.ai/how-to-comply-with-sr-11-7-guidance-on-model-risk-management/</w:t>
        </w:r>
      </w:hyperlink>
    </w:p>
    <w:p w14:paraId="16C482FB"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Model Risk Management: A Comprehensive Overview - </w:t>
      </w:r>
      <w:proofErr w:type="spellStart"/>
      <w:r>
        <w:rPr>
          <w:rFonts w:ascii="Google Sans" w:eastAsia="Google Sans" w:hAnsi="Google Sans" w:cs="Google Sans"/>
          <w:sz w:val="24"/>
          <w:szCs w:val="24"/>
        </w:rPr>
        <w:t>ValidMind</w:t>
      </w:r>
      <w:proofErr w:type="spellEnd"/>
      <w:r>
        <w:rPr>
          <w:rFonts w:ascii="Google Sans" w:eastAsia="Google Sans" w:hAnsi="Google Sans" w:cs="Google Sans"/>
          <w:sz w:val="24"/>
          <w:szCs w:val="24"/>
        </w:rPr>
        <w:t xml:space="preserve"> | AI, accessed October 24, 2025, </w:t>
      </w:r>
      <w:hyperlink r:id="rId12">
        <w:r>
          <w:rPr>
            <w:rFonts w:ascii="Google Sans" w:eastAsia="Google Sans" w:hAnsi="Google Sans" w:cs="Google Sans"/>
            <w:color w:val="0000EE"/>
            <w:sz w:val="24"/>
            <w:szCs w:val="24"/>
            <w:u w:val="single"/>
          </w:rPr>
          <w:t>https://validmind.com/blog/model-risk-management-a-comprehensive-overview/</w:t>
        </w:r>
      </w:hyperlink>
    </w:p>
    <w:p w14:paraId="16C482FC"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Digital Operational Resilience Act (DORA) | Updates, Compliance, Training, accessed October 24, 2025, </w:t>
      </w:r>
      <w:hyperlink r:id="rId13">
        <w:r>
          <w:rPr>
            <w:rFonts w:ascii="Google Sans" w:eastAsia="Google Sans" w:hAnsi="Google Sans" w:cs="Google Sans"/>
            <w:color w:val="0000EE"/>
            <w:sz w:val="24"/>
            <w:szCs w:val="24"/>
            <w:u w:val="single"/>
          </w:rPr>
          <w:t>https://www.digital-operational-resilience-act.com/</w:t>
        </w:r>
      </w:hyperlink>
    </w:p>
    <w:p w14:paraId="16C482FD"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Managing Digital Operational Resilience Act (DORA) Compliance ..., accessed October 24, 2025, </w:t>
      </w:r>
      <w:hyperlink r:id="rId14">
        <w:r>
          <w:rPr>
            <w:rFonts w:ascii="Google Sans" w:eastAsia="Google Sans" w:hAnsi="Google Sans" w:cs="Google Sans"/>
            <w:color w:val="0000EE"/>
            <w:sz w:val="24"/>
            <w:szCs w:val="24"/>
            <w:u w:val="single"/>
          </w:rPr>
          <w:t>https://www.informatica.com/resources/articles/digital-operational-resilience-act-compliance.html</w:t>
        </w:r>
      </w:hyperlink>
    </w:p>
    <w:p w14:paraId="16C482FE"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Digital Operational Resilience Act (DORA) - EIOPA - European Union, accessed October 24, 2025, </w:t>
      </w:r>
      <w:hyperlink r:id="rId15">
        <w:r>
          <w:rPr>
            <w:rFonts w:ascii="Google Sans" w:eastAsia="Google Sans" w:hAnsi="Google Sans" w:cs="Google Sans"/>
            <w:color w:val="0000EE"/>
            <w:sz w:val="24"/>
            <w:szCs w:val="24"/>
            <w:u w:val="single"/>
          </w:rPr>
          <w:t>https://www.eiopa.europa.eu/digital-operational-resilience-act-dora_en</w:t>
        </w:r>
      </w:hyperlink>
    </w:p>
    <w:p w14:paraId="16C482FF"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Digital Operational Resilience Act (DORA) EU - IBM, accessed October 24, 2025, </w:t>
      </w:r>
      <w:hyperlink r:id="rId16">
        <w:r>
          <w:rPr>
            <w:rFonts w:ascii="Google Sans" w:eastAsia="Google Sans" w:hAnsi="Google Sans" w:cs="Google Sans"/>
            <w:color w:val="0000EE"/>
            <w:sz w:val="24"/>
            <w:szCs w:val="24"/>
            <w:u w:val="single"/>
          </w:rPr>
          <w:t>https://www.ibm.com/products/cloud/compliance/dora</w:t>
        </w:r>
      </w:hyperlink>
    </w:p>
    <w:p w14:paraId="16C48300"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EU's Digital Operational Resilience Act (DORA) - Veeam, accessed October 24, 2025, </w:t>
      </w:r>
      <w:hyperlink r:id="rId17">
        <w:r>
          <w:rPr>
            <w:rFonts w:ascii="Google Sans" w:eastAsia="Google Sans" w:hAnsi="Google Sans" w:cs="Google Sans"/>
            <w:color w:val="0000EE"/>
            <w:sz w:val="24"/>
            <w:szCs w:val="24"/>
            <w:u w:val="single"/>
          </w:rPr>
          <w:t>https://www.veeam.com/blog/eu-digital-operational-resilience-act.html</w:t>
        </w:r>
      </w:hyperlink>
    </w:p>
    <w:p w14:paraId="16C48301"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DORA, Operational Resilience and Intelligent Observability - Splunk, accessed </w:t>
      </w:r>
      <w:r>
        <w:rPr>
          <w:rFonts w:ascii="Google Sans" w:eastAsia="Google Sans" w:hAnsi="Google Sans" w:cs="Google Sans"/>
          <w:sz w:val="24"/>
          <w:szCs w:val="24"/>
        </w:rPr>
        <w:lastRenderedPageBreak/>
        <w:t xml:space="preserve">October 24, 2025, </w:t>
      </w:r>
      <w:hyperlink r:id="rId18">
        <w:r>
          <w:rPr>
            <w:rFonts w:ascii="Google Sans" w:eastAsia="Google Sans" w:hAnsi="Google Sans" w:cs="Google Sans"/>
            <w:color w:val="0000EE"/>
            <w:sz w:val="24"/>
            <w:szCs w:val="24"/>
            <w:u w:val="single"/>
          </w:rPr>
          <w:t>https://www.splunk.com/en_us/blog/observability/dora-operational-resilience-and-intelligent-observability.html</w:t>
        </w:r>
      </w:hyperlink>
    </w:p>
    <w:p w14:paraId="16C48302"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What is DORA and how AIOps facilitates compliance - </w:t>
      </w:r>
      <w:proofErr w:type="spellStart"/>
      <w:r>
        <w:rPr>
          <w:rFonts w:ascii="Google Sans" w:eastAsia="Google Sans" w:hAnsi="Google Sans" w:cs="Google Sans"/>
          <w:sz w:val="24"/>
          <w:szCs w:val="24"/>
        </w:rPr>
        <w:t>BigPanda</w:t>
      </w:r>
      <w:proofErr w:type="spellEnd"/>
      <w:r>
        <w:rPr>
          <w:rFonts w:ascii="Google Sans" w:eastAsia="Google Sans" w:hAnsi="Google Sans" w:cs="Google Sans"/>
          <w:sz w:val="24"/>
          <w:szCs w:val="24"/>
        </w:rPr>
        <w:t xml:space="preserve">, accessed October 24, 2025, </w:t>
      </w:r>
      <w:hyperlink r:id="rId19">
        <w:r>
          <w:rPr>
            <w:rFonts w:ascii="Google Sans" w:eastAsia="Google Sans" w:hAnsi="Google Sans" w:cs="Google Sans"/>
            <w:color w:val="0000EE"/>
            <w:sz w:val="24"/>
            <w:szCs w:val="24"/>
            <w:u w:val="single"/>
          </w:rPr>
          <w:t>https://www.bigpanda.io/blog/aiops-dora-compliance/</w:t>
        </w:r>
      </w:hyperlink>
    </w:p>
    <w:p w14:paraId="16C48303"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Basel III and AI Operational Risk Management: Integrating AI Risks into Banking Frameworks - </w:t>
      </w:r>
      <w:proofErr w:type="spellStart"/>
      <w:r>
        <w:rPr>
          <w:rFonts w:ascii="Google Sans" w:eastAsia="Google Sans" w:hAnsi="Google Sans" w:cs="Google Sans"/>
          <w:sz w:val="24"/>
          <w:szCs w:val="24"/>
        </w:rPr>
        <w:t>VerityAI</w:t>
      </w:r>
      <w:proofErr w:type="spellEnd"/>
      <w:r>
        <w:rPr>
          <w:rFonts w:ascii="Google Sans" w:eastAsia="Google Sans" w:hAnsi="Google Sans" w:cs="Google Sans"/>
          <w:sz w:val="24"/>
          <w:szCs w:val="24"/>
        </w:rPr>
        <w:t xml:space="preserve">, accessed October 24, 2025, </w:t>
      </w:r>
      <w:hyperlink r:id="rId20">
        <w:r>
          <w:rPr>
            <w:rFonts w:ascii="Google Sans" w:eastAsia="Google Sans" w:hAnsi="Google Sans" w:cs="Google Sans"/>
            <w:color w:val="0000EE"/>
            <w:sz w:val="24"/>
            <w:szCs w:val="24"/>
            <w:u w:val="single"/>
          </w:rPr>
          <w:t>https://verityai.co/blog/basel-iii-ai-operational-risk-management</w:t>
        </w:r>
      </w:hyperlink>
    </w:p>
    <w:p w14:paraId="16C48304"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Newsletter on artificial intelligence and machine learning, accessed October 24, 2025, </w:t>
      </w:r>
      <w:hyperlink r:id="rId21">
        <w:r>
          <w:rPr>
            <w:rFonts w:ascii="Google Sans" w:eastAsia="Google Sans" w:hAnsi="Google Sans" w:cs="Google Sans"/>
            <w:color w:val="0000EE"/>
            <w:sz w:val="24"/>
            <w:szCs w:val="24"/>
            <w:u w:val="single"/>
          </w:rPr>
          <w:t>https://www.bis.org/publ/bcbs_nl27.htm</w:t>
        </w:r>
      </w:hyperlink>
    </w:p>
    <w:p w14:paraId="16C48305"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Navigating Risks in Financial Services: Key Insights on Emerging Issues in Artificial Intelligence Models - Future of Finance, accessed October 24, 2025, </w:t>
      </w:r>
      <w:hyperlink r:id="rId22">
        <w:r>
          <w:rPr>
            <w:rFonts w:ascii="Google Sans" w:eastAsia="Google Sans" w:hAnsi="Google Sans" w:cs="Google Sans"/>
            <w:color w:val="0000EE"/>
            <w:sz w:val="24"/>
            <w:szCs w:val="24"/>
            <w:u w:val="single"/>
          </w:rPr>
          <w:t>https://therisk.global/finance/navigating-risks-in-financial-services-key-insights-on-emerging-issues-in-artificial-intelligence-models/</w:t>
        </w:r>
      </w:hyperlink>
    </w:p>
    <w:p w14:paraId="16C48306"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Balancing the Scales: AI's Expanding Role in Banking and the New ..., accessed October 24, 2025, </w:t>
      </w:r>
      <w:hyperlink r:id="rId23">
        <w:r>
          <w:rPr>
            <w:rFonts w:ascii="Google Sans" w:eastAsia="Google Sans" w:hAnsi="Google Sans" w:cs="Google Sans"/>
            <w:color w:val="0000EE"/>
            <w:sz w:val="24"/>
            <w:szCs w:val="24"/>
            <w:u w:val="single"/>
          </w:rPr>
          <w:t>https://www.finextra.com/blogposting/29555/balancing-the-scales-ais-expanding-role-in-banking-and-the-new-frontiers-of-operational-risk</w:t>
        </w:r>
      </w:hyperlink>
    </w:p>
    <w:p w14:paraId="16C48307"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Policy Discussion Paper The Use of Artificial Intelligence and Machine Learning in the Financial Sector - Deutsche Bundesbank, accessed October 24, 2025, </w:t>
      </w:r>
      <w:hyperlink r:id="rId24">
        <w:r>
          <w:rPr>
            <w:rFonts w:ascii="Google Sans" w:eastAsia="Google Sans" w:hAnsi="Google Sans" w:cs="Google Sans"/>
            <w:color w:val="0000EE"/>
            <w:sz w:val="24"/>
            <w:szCs w:val="24"/>
            <w:u w:val="single"/>
          </w:rPr>
          <w:t>https://www.bundesbank.de/resource/blob/598256/d7d26167bceb18ee7c0c296902e42162/mL/2020-11-policy-dp-aiml-data.pdf</w:t>
        </w:r>
      </w:hyperlink>
    </w:p>
    <w:p w14:paraId="16C48308"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Basel III Summary and Operational Risk Capital Standard | Deloitte US, accessed October 24, 2025, </w:t>
      </w:r>
      <w:hyperlink r:id="rId25">
        <w:r>
          <w:rPr>
            <w:rFonts w:ascii="Google Sans" w:eastAsia="Google Sans" w:hAnsi="Google Sans" w:cs="Google Sans"/>
            <w:color w:val="0000EE"/>
            <w:sz w:val="24"/>
            <w:szCs w:val="24"/>
            <w:u w:val="single"/>
          </w:rPr>
          <w:t>https://www.deloitte.com/us/en/services/consulting/articles/basel-final-rules-takeaways-highlights-us-banks.html</w:t>
        </w:r>
      </w:hyperlink>
    </w:p>
    <w:p w14:paraId="16C48309"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Basel III endgame: Complete regulatory capital overhaul - PwC, accessed October 24, 2025, </w:t>
      </w:r>
      <w:hyperlink r:id="rId26">
        <w:r>
          <w:rPr>
            <w:rFonts w:ascii="Google Sans" w:eastAsia="Google Sans" w:hAnsi="Google Sans" w:cs="Google Sans"/>
            <w:color w:val="0000EE"/>
            <w:sz w:val="24"/>
            <w:szCs w:val="24"/>
            <w:u w:val="single"/>
          </w:rPr>
          <w:t>https://www.pwc.com/us/en/industries/financial-services/library/our-take/basel-iii-endgame.html</w:t>
        </w:r>
      </w:hyperlink>
    </w:p>
    <w:p w14:paraId="16C4830A"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EU AI Act - Updates, Compliance, Training, accessed October 24, 2025, </w:t>
      </w:r>
      <w:hyperlink r:id="rId27">
        <w:r>
          <w:rPr>
            <w:rFonts w:ascii="Google Sans" w:eastAsia="Google Sans" w:hAnsi="Google Sans" w:cs="Google Sans"/>
            <w:color w:val="0000EE"/>
            <w:sz w:val="24"/>
            <w:szCs w:val="24"/>
            <w:u w:val="single"/>
          </w:rPr>
          <w:t>https://www.artificial-intelligence-act.com/</w:t>
        </w:r>
      </w:hyperlink>
    </w:p>
    <w:p w14:paraId="16C4830B"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EU AI Act and Respective Regulation of Financial Services, accessed October 24, 2025, </w:t>
      </w:r>
      <w:hyperlink r:id="rId28">
        <w:r>
          <w:rPr>
            <w:rFonts w:ascii="Google Sans" w:eastAsia="Google Sans" w:hAnsi="Google Sans" w:cs="Google Sans"/>
            <w:color w:val="0000EE"/>
            <w:sz w:val="24"/>
            <w:szCs w:val="24"/>
            <w:u w:val="single"/>
          </w:rPr>
          <w:t>https://www.squirepattonboggs.com/en/insights/publications/2025/03/the-eu-ai-act-and-respective-regulation-of-financial-services</w:t>
        </w:r>
      </w:hyperlink>
    </w:p>
    <w:p w14:paraId="16C4830C"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Regulating AI in Finance: How the EU AI Act Shapes Financial Technology's Future, accessed October 24, 2025, </w:t>
      </w:r>
      <w:hyperlink r:id="rId29">
        <w:r>
          <w:rPr>
            <w:rFonts w:ascii="Google Sans" w:eastAsia="Google Sans" w:hAnsi="Google Sans" w:cs="Google Sans"/>
            <w:color w:val="0000EE"/>
            <w:sz w:val="24"/>
            <w:szCs w:val="24"/>
            <w:u w:val="single"/>
          </w:rPr>
          <w:t>https://blogs.law.ox.ac.uk/oblb/blog-post/2024/12/regulating-ai-finance-how-eu-ai-act-shapes-financial-technologys-future</w:t>
        </w:r>
      </w:hyperlink>
    </w:p>
    <w:p w14:paraId="16C4830D"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 Comparative Analysis of Artificial Intelligence Regulatory Law in Asia, Europe, and America - SHS Web of Conferences, accessed October 24, 2025, </w:t>
      </w:r>
      <w:hyperlink r:id="rId30">
        <w:r>
          <w:rPr>
            <w:rFonts w:ascii="Google Sans" w:eastAsia="Google Sans" w:hAnsi="Google Sans" w:cs="Google Sans"/>
            <w:color w:val="0000EE"/>
            <w:sz w:val="24"/>
            <w:szCs w:val="24"/>
            <w:u w:val="single"/>
          </w:rPr>
          <w:t>https://www.shs-conferences.org/articles/shsconf/pdf/2024/24/shsconf_diges-grace2024_07006.pdf</w:t>
        </w:r>
      </w:hyperlink>
    </w:p>
    <w:p w14:paraId="16C4830E"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High-level summary of the AI Act | EU Artificial Intelligence Act, accessed October 24, 2025, </w:t>
      </w:r>
      <w:hyperlink r:id="rId31">
        <w:r>
          <w:rPr>
            <w:rFonts w:ascii="Google Sans" w:eastAsia="Google Sans" w:hAnsi="Google Sans" w:cs="Google Sans"/>
            <w:color w:val="0000EE"/>
            <w:sz w:val="24"/>
            <w:szCs w:val="24"/>
            <w:u w:val="single"/>
          </w:rPr>
          <w:t>https://artificialintelligenceact.eu/high-level-summary/</w:t>
        </w:r>
      </w:hyperlink>
    </w:p>
    <w:p w14:paraId="16C4830F"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Regulating Artificial Intelligence: U.S. and International Approaches and </w:t>
      </w:r>
      <w:r>
        <w:rPr>
          <w:rFonts w:ascii="Google Sans" w:eastAsia="Google Sans" w:hAnsi="Google Sans" w:cs="Google Sans"/>
          <w:sz w:val="24"/>
          <w:szCs w:val="24"/>
        </w:rPr>
        <w:lastRenderedPageBreak/>
        <w:t xml:space="preserve">Considerations for Congress, accessed October 24, 2025, </w:t>
      </w:r>
      <w:hyperlink r:id="rId32">
        <w:r>
          <w:rPr>
            <w:rFonts w:ascii="Google Sans" w:eastAsia="Google Sans" w:hAnsi="Google Sans" w:cs="Google Sans"/>
            <w:color w:val="0000EE"/>
            <w:sz w:val="24"/>
            <w:szCs w:val="24"/>
            <w:u w:val="single"/>
          </w:rPr>
          <w:t>https://www.congress.gov/crs-product/R48555</w:t>
        </w:r>
      </w:hyperlink>
    </w:p>
    <w:p w14:paraId="16C48310"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Zooming in on AI - #6: AI under financial regulations in the U.S., EU and U.K., accessed October 24, 2025, </w:t>
      </w:r>
      <w:hyperlink r:id="rId33">
        <w:r>
          <w:rPr>
            <w:rFonts w:ascii="Google Sans" w:eastAsia="Google Sans" w:hAnsi="Google Sans" w:cs="Google Sans"/>
            <w:color w:val="0000EE"/>
            <w:sz w:val="24"/>
            <w:szCs w:val="24"/>
            <w:u w:val="single"/>
          </w:rPr>
          <w:t>https://www.aoshearman.com/en/insights/ao-shearman-on-tech/zooming-in-on-ai-ai-under-financial-regulations-in-the-us-part-2</w:t>
        </w:r>
      </w:hyperlink>
    </w:p>
    <w:p w14:paraId="16C48311"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AI Act | Shaping Europe's digital future - European Union, accessed October 24, 2025, </w:t>
      </w:r>
      <w:hyperlink r:id="rId34">
        <w:r>
          <w:rPr>
            <w:rFonts w:ascii="Google Sans" w:eastAsia="Google Sans" w:hAnsi="Google Sans" w:cs="Google Sans"/>
            <w:color w:val="0000EE"/>
            <w:sz w:val="24"/>
            <w:szCs w:val="24"/>
            <w:u w:val="single"/>
          </w:rPr>
          <w:t>https://digital-strategy.ec.europa.eu/en/policies/regulatory-framework-ai</w:t>
        </w:r>
      </w:hyperlink>
    </w:p>
    <w:p w14:paraId="16C48312"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EU AI Act: Key Points for Financial Services Businesses | Insights ..., accessed October 24, 2025, </w:t>
      </w:r>
      <w:hyperlink r:id="rId35">
        <w:r>
          <w:rPr>
            <w:rFonts w:ascii="Google Sans" w:eastAsia="Google Sans" w:hAnsi="Google Sans" w:cs="Google Sans"/>
            <w:color w:val="0000EE"/>
            <w:sz w:val="24"/>
            <w:szCs w:val="24"/>
            <w:u w:val="single"/>
          </w:rPr>
          <w:t>https://www.goodwinlaw.com/en/insights/publications/2024/08/alerts-practices-pif-key-points-for-financial-services-businesses</w:t>
        </w:r>
      </w:hyperlink>
    </w:p>
    <w:p w14:paraId="16C48313"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AI Act and its impacts on the European financial sector - EIOPA, accessed October 24, 2025, </w:t>
      </w:r>
      <w:hyperlink r:id="rId36">
        <w:r>
          <w:rPr>
            <w:rFonts w:ascii="Google Sans" w:eastAsia="Google Sans" w:hAnsi="Google Sans" w:cs="Google Sans"/>
            <w:color w:val="0000EE"/>
            <w:sz w:val="24"/>
            <w:szCs w:val="24"/>
            <w:u w:val="single"/>
          </w:rPr>
          <w:t>https://www.eiopa.europa.eu/publications/ai-act-and-its-impacts-european-financial-sector_en</w:t>
        </w:r>
      </w:hyperlink>
    </w:p>
    <w:p w14:paraId="16C48314"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Introduction to “Beyond SR 11-7: Model Risk Management in the Age of AI/ML” - </w:t>
      </w:r>
      <w:proofErr w:type="spellStart"/>
      <w:r>
        <w:rPr>
          <w:rFonts w:ascii="Google Sans" w:eastAsia="Google Sans" w:hAnsi="Google Sans" w:cs="Google Sans"/>
          <w:sz w:val="24"/>
          <w:szCs w:val="24"/>
        </w:rPr>
        <w:t>Treliant</w:t>
      </w:r>
      <w:proofErr w:type="spellEnd"/>
      <w:r>
        <w:rPr>
          <w:rFonts w:ascii="Google Sans" w:eastAsia="Google Sans" w:hAnsi="Google Sans" w:cs="Google Sans"/>
          <w:sz w:val="24"/>
          <w:szCs w:val="24"/>
        </w:rPr>
        <w:t xml:space="preserve">, accessed October 24, 2025, </w:t>
      </w:r>
      <w:hyperlink r:id="rId37">
        <w:r>
          <w:rPr>
            <w:rFonts w:ascii="Google Sans" w:eastAsia="Google Sans" w:hAnsi="Google Sans" w:cs="Google Sans"/>
            <w:color w:val="0000EE"/>
            <w:sz w:val="24"/>
            <w:szCs w:val="24"/>
            <w:u w:val="single"/>
          </w:rPr>
          <w:t>https://www.treliant.com/wp-content/uploads/2023/12/Summary_Beyond-SR11-7-AI-Model-Risk-Management-Whitepaper_Treliant.pdf</w:t>
        </w:r>
      </w:hyperlink>
    </w:p>
    <w:p w14:paraId="16C48315"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AI under financial regulations in the U.S., EU and U.K. - A&amp;O ..., accessed October 24, 2025, </w:t>
      </w:r>
      <w:hyperlink r:id="rId38">
        <w:r>
          <w:rPr>
            <w:rFonts w:ascii="Google Sans" w:eastAsia="Google Sans" w:hAnsi="Google Sans" w:cs="Google Sans"/>
            <w:color w:val="0000EE"/>
            <w:sz w:val="24"/>
            <w:szCs w:val="24"/>
            <w:u w:val="single"/>
          </w:rPr>
          <w:t>https://www.aoshearman.com/en/insights/ao-shearman-on-tech/zooming-in-5-ai-under-financial-regulations-in-the-us-eu-and-uk-a-comparative-assessment-part-1</w:t>
        </w:r>
      </w:hyperlink>
    </w:p>
    <w:p w14:paraId="16C48316"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Chairman Hill Introduces Bipartisan Bill to Promote Artificial ..., accessed October 24, 2025, </w:t>
      </w:r>
      <w:hyperlink r:id="rId39">
        <w:r>
          <w:rPr>
            <w:rFonts w:ascii="Google Sans" w:eastAsia="Google Sans" w:hAnsi="Google Sans" w:cs="Google Sans"/>
            <w:color w:val="0000EE"/>
            <w:sz w:val="24"/>
            <w:szCs w:val="24"/>
            <w:u w:val="single"/>
          </w:rPr>
          <w:t>https://financialservices.house.gov/news/documentsingle.aspx?DocumentID=410824</w:t>
        </w:r>
      </w:hyperlink>
    </w:p>
    <w:p w14:paraId="16C48317"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Rounds Reintroduces Legislation Supporting AI Innovation in Financial Services, accessed October 24, 2025, </w:t>
      </w:r>
      <w:hyperlink r:id="rId40">
        <w:r>
          <w:rPr>
            <w:rFonts w:ascii="Google Sans" w:eastAsia="Google Sans" w:hAnsi="Google Sans" w:cs="Google Sans"/>
            <w:color w:val="0000EE"/>
            <w:sz w:val="24"/>
            <w:szCs w:val="24"/>
            <w:u w:val="single"/>
          </w:rPr>
          <w:t>https://www.rounds.senate.gov/newsroom/press-releases/rounds-reintroduces-legislation-supporting-ai-innovation-in-financial-services</w:t>
        </w:r>
      </w:hyperlink>
    </w:p>
    <w:p w14:paraId="16C48318"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Bipartisan AI Bill Reintroduced; Senate Challenges China Chip Reversal — AI: The Washington Report | Mintz, accessed October 24, 2025, </w:t>
      </w:r>
      <w:hyperlink r:id="rId41">
        <w:r>
          <w:rPr>
            <w:rFonts w:ascii="Google Sans" w:eastAsia="Google Sans" w:hAnsi="Google Sans" w:cs="Google Sans"/>
            <w:color w:val="0000EE"/>
            <w:sz w:val="24"/>
            <w:szCs w:val="24"/>
            <w:u w:val="single"/>
          </w:rPr>
          <w:t>https://www.mintz.com/insights-center/viewpoints/54731/2025-08-08-bipartisan-ai-bill-reintroduced-senate-challenges-china</w:t>
        </w:r>
      </w:hyperlink>
    </w:p>
    <w:p w14:paraId="16C48319"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Federal: AFC Letter in Support for the Unleashing AI Innovation in Financial Services Act, accessed October 24, 2025, </w:t>
      </w:r>
      <w:hyperlink r:id="rId42">
        <w:r>
          <w:rPr>
            <w:rFonts w:ascii="Google Sans" w:eastAsia="Google Sans" w:hAnsi="Google Sans" w:cs="Google Sans"/>
            <w:color w:val="0000EE"/>
            <w:sz w:val="24"/>
            <w:szCs w:val="24"/>
            <w:u w:val="single"/>
          </w:rPr>
          <w:t>https://www.fintechcouncil.org/advocacy/federal-afc-letter-in-support-for-the-unleashing-ai-innovation-in-financial-services-act</w:t>
        </w:r>
      </w:hyperlink>
    </w:p>
    <w:p w14:paraId="16C4831A"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Text - H.R.7532 - 118th Congress (2023-2024): Federal A.I. Governance and Transparency Act of 2024, accessed October 24, 2025, </w:t>
      </w:r>
      <w:hyperlink r:id="rId43">
        <w:r>
          <w:rPr>
            <w:rFonts w:ascii="Google Sans" w:eastAsia="Google Sans" w:hAnsi="Google Sans" w:cs="Google Sans"/>
            <w:color w:val="0000EE"/>
            <w:sz w:val="24"/>
            <w:szCs w:val="24"/>
            <w:u w:val="single"/>
          </w:rPr>
          <w:t>https://www.congress.gov/bill/118th-congress/house-bill/7532/text</w:t>
        </w:r>
      </w:hyperlink>
    </w:p>
    <w:p w14:paraId="16C4831B"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Comer &amp; Raskin Introduce the Federal AI Governance and Transparency Act, accessed October 24, 2025, </w:t>
      </w:r>
      <w:hyperlink r:id="rId44">
        <w:r>
          <w:rPr>
            <w:rFonts w:ascii="Google Sans" w:eastAsia="Google Sans" w:hAnsi="Google Sans" w:cs="Google Sans"/>
            <w:color w:val="0000EE"/>
            <w:sz w:val="24"/>
            <w:szCs w:val="24"/>
            <w:u w:val="single"/>
          </w:rPr>
          <w:t>https://oversight.house.gov/release/comer-raskin-introduce-the-federal-ai-governance-and-transparency-</w:t>
        </w:r>
        <w:r>
          <w:rPr>
            <w:rFonts w:ascii="Google Sans" w:eastAsia="Google Sans" w:hAnsi="Google Sans" w:cs="Google Sans"/>
            <w:color w:val="0000EE"/>
            <w:sz w:val="24"/>
            <w:szCs w:val="24"/>
            <w:u w:val="single"/>
          </w:rPr>
          <w:lastRenderedPageBreak/>
          <w:t>act%EF%BF%BC%EF%BF%BC/</w:t>
        </w:r>
      </w:hyperlink>
    </w:p>
    <w:p w14:paraId="16C4831C"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House Report 118-905 - FEDERAL A.I. GOVERNANCE AND ..., accessed October 24, 2025, </w:t>
      </w:r>
      <w:hyperlink r:id="rId45">
        <w:r>
          <w:rPr>
            <w:rFonts w:ascii="Google Sans" w:eastAsia="Google Sans" w:hAnsi="Google Sans" w:cs="Google Sans"/>
            <w:color w:val="0000EE"/>
            <w:sz w:val="24"/>
            <w:szCs w:val="24"/>
            <w:u w:val="single"/>
          </w:rPr>
          <w:t>https://www.govinfo.gov/content/pkg/CRPT-118hrpt905/html/CRPT-118hrpt905.htm</w:t>
        </w:r>
      </w:hyperlink>
    </w:p>
    <w:p w14:paraId="16C4831D"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The Evolving Landscape of AI Regulation in Financial Services | Insights &amp; Resources, accessed October 24, 2025, </w:t>
      </w:r>
      <w:hyperlink r:id="rId46">
        <w:r>
          <w:rPr>
            <w:rFonts w:ascii="Google Sans" w:eastAsia="Google Sans" w:hAnsi="Google Sans" w:cs="Google Sans"/>
            <w:color w:val="0000EE"/>
            <w:sz w:val="24"/>
            <w:szCs w:val="24"/>
            <w:u w:val="single"/>
          </w:rPr>
          <w:t>https://www.goodwinlaw.com/en/insights/publications/2025/06/alerts-finance-fs-the-evolving-landscape-of-ai-regulation</w:t>
        </w:r>
      </w:hyperlink>
    </w:p>
    <w:p w14:paraId="16C4831E"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Comparing Apples to Oranges: A Taxonomy for Navigating the Global Landscape of AI Regulation - </w:t>
      </w:r>
      <w:proofErr w:type="spellStart"/>
      <w:r>
        <w:rPr>
          <w:rFonts w:ascii="Google Sans" w:eastAsia="Google Sans" w:hAnsi="Google Sans" w:cs="Google Sans"/>
          <w:sz w:val="24"/>
          <w:szCs w:val="24"/>
        </w:rPr>
        <w:t>arXiv</w:t>
      </w:r>
      <w:proofErr w:type="spellEnd"/>
      <w:r>
        <w:rPr>
          <w:rFonts w:ascii="Google Sans" w:eastAsia="Google Sans" w:hAnsi="Google Sans" w:cs="Google Sans"/>
          <w:sz w:val="24"/>
          <w:szCs w:val="24"/>
        </w:rPr>
        <w:t xml:space="preserve">, accessed October 24, 2025, </w:t>
      </w:r>
      <w:hyperlink r:id="rId47">
        <w:r>
          <w:rPr>
            <w:rFonts w:ascii="Google Sans" w:eastAsia="Google Sans" w:hAnsi="Google Sans" w:cs="Google Sans"/>
            <w:color w:val="0000EE"/>
            <w:sz w:val="24"/>
            <w:szCs w:val="24"/>
            <w:u w:val="single"/>
          </w:rPr>
          <w:t>https://arxiv.org/html/2505.13673v1</w:t>
        </w:r>
      </w:hyperlink>
    </w:p>
    <w:p w14:paraId="16C4831F"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AI and the FCA: our approach | FCA, accessed October 24, 2025, </w:t>
      </w:r>
      <w:hyperlink r:id="rId48">
        <w:r>
          <w:rPr>
            <w:rFonts w:ascii="Google Sans" w:eastAsia="Google Sans" w:hAnsi="Google Sans" w:cs="Google Sans"/>
            <w:color w:val="0000EE"/>
            <w:sz w:val="24"/>
            <w:szCs w:val="24"/>
            <w:u w:val="single"/>
          </w:rPr>
          <w:t>https://www.fca.org.uk/firms/innovation/ai-approach</w:t>
        </w:r>
      </w:hyperlink>
    </w:p>
    <w:p w14:paraId="16C48320"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No bespoke rules for AI, FCA </w:t>
      </w:r>
      <w:proofErr w:type="spellStart"/>
      <w:r>
        <w:rPr>
          <w:rFonts w:ascii="Google Sans" w:eastAsia="Google Sans" w:hAnsi="Google Sans" w:cs="Google Sans"/>
          <w:sz w:val="24"/>
          <w:szCs w:val="24"/>
        </w:rPr>
        <w:t>re-emphasises</w:t>
      </w:r>
      <w:proofErr w:type="spellEnd"/>
      <w:r>
        <w:rPr>
          <w:rFonts w:ascii="Google Sans" w:eastAsia="Google Sans" w:hAnsi="Google Sans" w:cs="Google Sans"/>
          <w:sz w:val="24"/>
          <w:szCs w:val="24"/>
        </w:rPr>
        <w:t xml:space="preserve">, accessed October 24, 2025, </w:t>
      </w:r>
      <w:hyperlink r:id="rId49">
        <w:r>
          <w:rPr>
            <w:rFonts w:ascii="Google Sans" w:eastAsia="Google Sans" w:hAnsi="Google Sans" w:cs="Google Sans"/>
            <w:color w:val="0000EE"/>
            <w:sz w:val="24"/>
            <w:szCs w:val="24"/>
            <w:u w:val="single"/>
          </w:rPr>
          <w:t>https://www.pinsentmasons.com/out-law/news/no-bespoke-rules-for-ai</w:t>
        </w:r>
      </w:hyperlink>
    </w:p>
    <w:p w14:paraId="16C48321"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AI in Financial Services — UK's Financial Regulator Sets Out Its Approach - Faegre Drinker, accessed October 24, 2025, </w:t>
      </w:r>
      <w:hyperlink r:id="rId50">
        <w:r>
          <w:rPr>
            <w:rFonts w:ascii="Google Sans" w:eastAsia="Google Sans" w:hAnsi="Google Sans" w:cs="Google Sans"/>
            <w:color w:val="0000EE"/>
            <w:sz w:val="24"/>
            <w:szCs w:val="24"/>
            <w:u w:val="single"/>
          </w:rPr>
          <w:t>https://www.faegredrinker.com/en/insights/publications/2025/6/ai-in-financial-services-uk-financial-regulator-sets-out-its-approach</w:t>
        </w:r>
      </w:hyperlink>
    </w:p>
    <w:p w14:paraId="16C48322"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AI Regulation in Financial Services: FCA Developments and Emerging Enforcement Risks, accessed October 24, 2025, </w:t>
      </w:r>
      <w:hyperlink r:id="rId51">
        <w:r>
          <w:rPr>
            <w:rFonts w:ascii="Google Sans" w:eastAsia="Google Sans" w:hAnsi="Google Sans" w:cs="Google Sans"/>
            <w:color w:val="0000EE"/>
            <w:sz w:val="24"/>
            <w:szCs w:val="24"/>
            <w:u w:val="single"/>
          </w:rPr>
          <w:t>https://www.regulationtomorrow.com/eu/ai-regulation-in-financial-services-fca-developments-and-emerging-enforcement-risks/</w:t>
        </w:r>
      </w:hyperlink>
    </w:p>
    <w:p w14:paraId="16C48323"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Singapore's AI governance framework: A Complete guide - Diligent, accessed October 24, 2025, </w:t>
      </w:r>
      <w:hyperlink r:id="rId52">
        <w:r>
          <w:rPr>
            <w:rFonts w:ascii="Google Sans" w:eastAsia="Google Sans" w:hAnsi="Google Sans" w:cs="Google Sans"/>
            <w:color w:val="0000EE"/>
            <w:sz w:val="24"/>
            <w:szCs w:val="24"/>
            <w:u w:val="single"/>
          </w:rPr>
          <w:t>https://www.diligent.com/resources/blog/Singapore-AI-regulation</w:t>
        </w:r>
      </w:hyperlink>
    </w:p>
    <w:p w14:paraId="16C48324"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Principles to Promote Fairness, Ethics, Accountability and Transparency (FEAT) in the Use of Artificial Intelligence and Data Analytics - Monetary Authority of Singapore, accessed October 24, 2025, </w:t>
      </w:r>
      <w:hyperlink r:id="rId53">
        <w:r>
          <w:rPr>
            <w:rFonts w:ascii="Google Sans" w:eastAsia="Google Sans" w:hAnsi="Google Sans" w:cs="Google Sans"/>
            <w:color w:val="0000EE"/>
            <w:sz w:val="24"/>
            <w:szCs w:val="24"/>
            <w:u w:val="single"/>
          </w:rPr>
          <w:t>https://www.mas.gov.sg/~/media/MAS/News%20and%20Publications/Monographs%20and%20Information%20Papers/FEAT%20Principles%20Final.pdf</w:t>
        </w:r>
      </w:hyperlink>
    </w:p>
    <w:p w14:paraId="16C48325"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Consultation on Singapore Model AI Governance Framework and adoption of FEAT Principles - Client Alert, accessed October 24, 2025, </w:t>
      </w:r>
      <w:hyperlink r:id="rId54">
        <w:r>
          <w:rPr>
            <w:rFonts w:ascii="Google Sans" w:eastAsia="Google Sans" w:hAnsi="Google Sans" w:cs="Google Sans"/>
            <w:color w:val="0000EE"/>
            <w:sz w:val="24"/>
            <w:szCs w:val="24"/>
            <w:u w:val="single"/>
          </w:rPr>
          <w:t>https://www.bakermckenzie.com/-/media/files/insight/publications/2019/02/al_consultationonsingaporemodelai_feb2019.pdf</w:t>
        </w:r>
      </w:hyperlink>
    </w:p>
    <w:p w14:paraId="16C48326"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Financial Industry Forum on Artificial Intelligence: A Canadian ..., accessed October 24, 2025, </w:t>
      </w:r>
      <w:hyperlink r:id="rId55">
        <w:r>
          <w:rPr>
            <w:rFonts w:ascii="Google Sans" w:eastAsia="Google Sans" w:hAnsi="Google Sans" w:cs="Google Sans"/>
            <w:color w:val="0000EE"/>
            <w:sz w:val="24"/>
            <w:szCs w:val="24"/>
            <w:u w:val="single"/>
          </w:rPr>
          <w:t>https://www.osfi-bsif.gc.ca/en/about-osfi/reports-publications/financial-industry-forum-artificial-intelligence-canadian-perspective-responsible-ai</w:t>
        </w:r>
      </w:hyperlink>
    </w:p>
    <w:p w14:paraId="16C48327"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Managing Artificial Intelligence: The Monetary Authority of Singapore's Recommendations on AI Model Risk Management - K&amp;L Gates, accessed October 24, 2025, </w:t>
      </w:r>
      <w:hyperlink r:id="rId56">
        <w:r>
          <w:rPr>
            <w:rFonts w:ascii="Google Sans" w:eastAsia="Google Sans" w:hAnsi="Google Sans" w:cs="Google Sans"/>
            <w:color w:val="0000EE"/>
            <w:sz w:val="24"/>
            <w:szCs w:val="24"/>
            <w:u w:val="single"/>
          </w:rPr>
          <w:t>https://www.klgates.com/Managing-Artificial-Intelligence-The-Monetary-Authority-of-Singapores-Recommendations-on-AI-Model-Risk-Management-1-22-2025</w:t>
        </w:r>
      </w:hyperlink>
    </w:p>
    <w:p w14:paraId="16C48328"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lastRenderedPageBreak/>
        <w:t xml:space="preserve">AI in Model Risk Management: A Guide for Financial Services - </w:t>
      </w:r>
      <w:proofErr w:type="spellStart"/>
      <w:r>
        <w:rPr>
          <w:rFonts w:ascii="Google Sans" w:eastAsia="Google Sans" w:hAnsi="Google Sans" w:cs="Google Sans"/>
          <w:sz w:val="24"/>
          <w:szCs w:val="24"/>
        </w:rPr>
        <w:t>ValidMind</w:t>
      </w:r>
      <w:proofErr w:type="spellEnd"/>
      <w:r>
        <w:rPr>
          <w:rFonts w:ascii="Google Sans" w:eastAsia="Google Sans" w:hAnsi="Google Sans" w:cs="Google Sans"/>
          <w:sz w:val="24"/>
          <w:szCs w:val="24"/>
        </w:rPr>
        <w:t xml:space="preserve">, accessed October 24, 2025, </w:t>
      </w:r>
      <w:hyperlink r:id="rId57">
        <w:r>
          <w:rPr>
            <w:rFonts w:ascii="Google Sans" w:eastAsia="Google Sans" w:hAnsi="Google Sans" w:cs="Google Sans"/>
            <w:color w:val="0000EE"/>
            <w:sz w:val="24"/>
            <w:szCs w:val="24"/>
            <w:u w:val="single"/>
          </w:rPr>
          <w:t>https://validmind.com/blog/ai-in-model-risk-management-financial-services/</w:t>
        </w:r>
      </w:hyperlink>
    </w:p>
    <w:p w14:paraId="16C48329"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A Comparison of AI Regulations by Region: The EU AI Act vs. U.S. Regulatory Guidance, accessed October 24, 2025, </w:t>
      </w:r>
      <w:hyperlink r:id="rId58">
        <w:r>
          <w:rPr>
            <w:rFonts w:ascii="Google Sans" w:eastAsia="Google Sans" w:hAnsi="Google Sans" w:cs="Google Sans"/>
            <w:color w:val="0000EE"/>
            <w:sz w:val="24"/>
            <w:szCs w:val="24"/>
            <w:u w:val="single"/>
          </w:rPr>
          <w:t>https://lucinity.com/blog/a-comparison-of-ai-regulations-by-region-the-eu-ai-act-vs-u-s-regulatory-guidance</w:t>
        </w:r>
      </w:hyperlink>
    </w:p>
    <w:p w14:paraId="16C4832A" w14:textId="77777777" w:rsidR="0005130B" w:rsidRDefault="00000000">
      <w:pPr>
        <w:numPr>
          <w:ilvl w:val="0"/>
          <w:numId w:val="11"/>
        </w:numPr>
        <w:pBdr>
          <w:top w:val="nil"/>
          <w:left w:val="nil"/>
          <w:bottom w:val="nil"/>
          <w:right w:val="nil"/>
          <w:between w:val="nil"/>
        </w:pBdr>
      </w:pPr>
      <w:r>
        <w:rPr>
          <w:rFonts w:ascii="Google Sans" w:eastAsia="Google Sans" w:hAnsi="Google Sans" w:cs="Google Sans"/>
          <w:sz w:val="24"/>
          <w:szCs w:val="24"/>
        </w:rPr>
        <w:t xml:space="preserve">Strengthening Model Risk Management: Adapting to New Regulations and Emerging Risk, accessed October 24, 2025, </w:t>
      </w:r>
      <w:hyperlink r:id="rId59">
        <w:r>
          <w:rPr>
            <w:rFonts w:ascii="Google Sans" w:eastAsia="Google Sans" w:hAnsi="Google Sans" w:cs="Google Sans"/>
            <w:color w:val="0000EE"/>
            <w:sz w:val="24"/>
            <w:szCs w:val="24"/>
            <w:u w:val="single"/>
          </w:rPr>
          <w:t>https://www.solytics-partners.com/resources/blogs/strengthening-model-risk-management-adapting-to-new-regulations-and-emerging-risk</w:t>
        </w:r>
      </w:hyperlink>
    </w:p>
    <w:sectPr w:rsidR="0005130B" w:rsidSect="000F465D">
      <w:footerReference w:type="default" r:id="rId60"/>
      <w:pgSz w:w="12240" w:h="15840"/>
      <w:pgMar w:top="63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615B90" w14:textId="77777777" w:rsidR="00E128E6" w:rsidRDefault="00E128E6" w:rsidP="000F465D">
      <w:r>
        <w:separator/>
      </w:r>
    </w:p>
  </w:endnote>
  <w:endnote w:type="continuationSeparator" w:id="0">
    <w:p w14:paraId="4385E102" w14:textId="77777777" w:rsidR="00E128E6" w:rsidRDefault="00E128E6" w:rsidP="000F46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3F316FDC-1CE9-4532-B3EF-916548C04362}"/>
    <w:embedItalic r:id="rId2" w:fontKey="{0F516C0C-A9F5-4990-98A0-236A991F0162}"/>
  </w:font>
  <w:font w:name="Google Sans">
    <w:altName w:val="Calibri"/>
    <w:charset w:val="00"/>
    <w:family w:val="auto"/>
    <w:pitch w:val="default"/>
    <w:embedRegular r:id="rId3" w:fontKey="{30BDAF81-4C29-4E74-A18E-541490D142AB}"/>
    <w:embedBold r:id="rId4" w:fontKey="{2021B476-5F93-4E2A-850A-3C2047CD1872}"/>
  </w:font>
  <w:font w:name="Google Sans Text">
    <w:altName w:val="Calibri"/>
    <w:charset w:val="00"/>
    <w:family w:val="auto"/>
    <w:pitch w:val="default"/>
    <w:embedRegular r:id="rId5" w:fontKey="{8C8E06FD-BCF8-44E3-95CA-EA060D40C7B1}"/>
    <w:embedBold r:id="rId6" w:fontKey="{B03B6526-1933-4E77-BDC2-5D48C9A44E54}"/>
    <w:embedItalic r:id="rId7" w:fontKey="{D1AFD89F-FBEC-4BC9-9DE9-3019DDB5C44E}"/>
    <w:embedBoldItalic r:id="rId8" w:fontKey="{A56C87C7-7BCD-4A7B-BDB8-2C081799D8F3}"/>
  </w:font>
  <w:font w:name="Calibri">
    <w:panose1 w:val="020F0502020204030204"/>
    <w:charset w:val="00"/>
    <w:family w:val="swiss"/>
    <w:pitch w:val="variable"/>
    <w:sig w:usb0="E4002EFF" w:usb1="C200247B" w:usb2="00000009" w:usb3="00000000" w:csb0="000001FF" w:csb1="00000000"/>
    <w:embedRegular r:id="rId9" w:fontKey="{182614ED-FC84-43A4-BD4A-B968B2B0A780}"/>
  </w:font>
  <w:font w:name="Cambria">
    <w:panose1 w:val="02040503050406030204"/>
    <w:charset w:val="00"/>
    <w:family w:val="roman"/>
    <w:pitch w:val="variable"/>
    <w:sig w:usb0="E00006FF" w:usb1="420024FF" w:usb2="02000000" w:usb3="00000000" w:csb0="0000019F" w:csb1="00000000"/>
    <w:embedRegular r:id="rId10" w:fontKey="{FD7BDCDF-21F0-4FC6-871F-C2A6DF2A681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62225671"/>
      <w:docPartObj>
        <w:docPartGallery w:val="Page Numbers (Bottom of Page)"/>
        <w:docPartUnique/>
      </w:docPartObj>
    </w:sdtPr>
    <w:sdtEndPr>
      <w:rPr>
        <w:noProof/>
      </w:rPr>
    </w:sdtEndPr>
    <w:sdtContent>
      <w:p w14:paraId="02E35D03" w14:textId="5E52DA77" w:rsidR="000F465D" w:rsidRDefault="000F465D">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34EF00E" w14:textId="77777777" w:rsidR="000F465D" w:rsidRDefault="000F46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D14606" w14:textId="77777777" w:rsidR="00E128E6" w:rsidRDefault="00E128E6" w:rsidP="000F465D">
      <w:r>
        <w:separator/>
      </w:r>
    </w:p>
  </w:footnote>
  <w:footnote w:type="continuationSeparator" w:id="0">
    <w:p w14:paraId="2D6A51E4" w14:textId="77777777" w:rsidR="00E128E6" w:rsidRDefault="00E128E6" w:rsidP="000F465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BC4EE8"/>
    <w:multiLevelType w:val="multilevel"/>
    <w:tmpl w:val="D910B202"/>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EED4013"/>
    <w:multiLevelType w:val="multilevel"/>
    <w:tmpl w:val="C18E033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13B70223"/>
    <w:multiLevelType w:val="multilevel"/>
    <w:tmpl w:val="3EE42F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17B943B0"/>
    <w:multiLevelType w:val="multilevel"/>
    <w:tmpl w:val="EFF0490E"/>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1BD86B73"/>
    <w:multiLevelType w:val="multilevel"/>
    <w:tmpl w:val="F3965D9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2C78229C"/>
    <w:multiLevelType w:val="multilevel"/>
    <w:tmpl w:val="C92C1A24"/>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35844B67"/>
    <w:multiLevelType w:val="multilevel"/>
    <w:tmpl w:val="079C4FC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53220D11"/>
    <w:multiLevelType w:val="multilevel"/>
    <w:tmpl w:val="D67AA2B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0A3119F"/>
    <w:multiLevelType w:val="multilevel"/>
    <w:tmpl w:val="66CC0B1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9" w15:restartNumberingAfterBreak="0">
    <w:nsid w:val="66F64078"/>
    <w:multiLevelType w:val="multilevel"/>
    <w:tmpl w:val="01A8CF5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0" w15:restartNumberingAfterBreak="0">
    <w:nsid w:val="75812C14"/>
    <w:multiLevelType w:val="multilevel"/>
    <w:tmpl w:val="62D605CE"/>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623419698">
    <w:abstractNumId w:val="0"/>
  </w:num>
  <w:num w:numId="2" w16cid:durableId="1962686437">
    <w:abstractNumId w:val="1"/>
  </w:num>
  <w:num w:numId="3" w16cid:durableId="1215461850">
    <w:abstractNumId w:val="3"/>
  </w:num>
  <w:num w:numId="4" w16cid:durableId="898513703">
    <w:abstractNumId w:val="4"/>
  </w:num>
  <w:num w:numId="5" w16cid:durableId="1158111609">
    <w:abstractNumId w:val="5"/>
  </w:num>
  <w:num w:numId="6" w16cid:durableId="1326127154">
    <w:abstractNumId w:val="7"/>
  </w:num>
  <w:num w:numId="7" w16cid:durableId="1947496004">
    <w:abstractNumId w:val="8"/>
  </w:num>
  <w:num w:numId="8" w16cid:durableId="273023239">
    <w:abstractNumId w:val="9"/>
  </w:num>
  <w:num w:numId="9" w16cid:durableId="1196775084">
    <w:abstractNumId w:val="2"/>
  </w:num>
  <w:num w:numId="10" w16cid:durableId="1553073254">
    <w:abstractNumId w:val="6"/>
  </w:num>
  <w:num w:numId="11" w16cid:durableId="189392939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5130B"/>
    <w:rsid w:val="0005130B"/>
    <w:rsid w:val="000F465D"/>
    <w:rsid w:val="00AD684D"/>
    <w:rsid w:val="00E128E6"/>
    <w:rsid w:val="00F673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C48202"/>
  <w15:docId w15:val="{9516ED84-245A-46E8-89B1-DB07FBFBAD3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Heading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table" w:styleId="GridTable3">
    <w:name w:val="Grid Table 3"/>
    <w:basedOn w:val="TableNormal"/>
    <w:uiPriority w:val="48"/>
    <w:rsid w:val="000F465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Header">
    <w:name w:val="header"/>
    <w:basedOn w:val="Normal"/>
    <w:link w:val="HeaderChar"/>
    <w:uiPriority w:val="99"/>
    <w:unhideWhenUsed/>
    <w:rsid w:val="000F465D"/>
    <w:pPr>
      <w:tabs>
        <w:tab w:val="center" w:pos="4680"/>
        <w:tab w:val="right" w:pos="9360"/>
      </w:tabs>
    </w:pPr>
  </w:style>
  <w:style w:type="character" w:customStyle="1" w:styleId="HeaderChar">
    <w:name w:val="Header Char"/>
    <w:basedOn w:val="DefaultParagraphFont"/>
    <w:link w:val="Header"/>
    <w:uiPriority w:val="99"/>
    <w:rsid w:val="000F465D"/>
  </w:style>
  <w:style w:type="paragraph" w:styleId="Footer">
    <w:name w:val="footer"/>
    <w:basedOn w:val="Normal"/>
    <w:link w:val="FooterChar"/>
    <w:uiPriority w:val="99"/>
    <w:unhideWhenUsed/>
    <w:rsid w:val="000F465D"/>
    <w:pPr>
      <w:tabs>
        <w:tab w:val="center" w:pos="4680"/>
        <w:tab w:val="right" w:pos="9360"/>
      </w:tabs>
    </w:pPr>
  </w:style>
  <w:style w:type="character" w:customStyle="1" w:styleId="FooterChar">
    <w:name w:val="Footer Char"/>
    <w:basedOn w:val="DefaultParagraphFont"/>
    <w:link w:val="Footer"/>
    <w:uiPriority w:val="99"/>
    <w:rsid w:val="000F465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www.digital-operational-resilience-act.com/" TargetMode="External"/><Relationship Id="rId18" Type="http://schemas.openxmlformats.org/officeDocument/2006/relationships/hyperlink" Target="https://www.splunk.com/en_us/blog/observability/dora-operational-resilience-and-intelligent-observability.html" TargetMode="External"/><Relationship Id="rId26" Type="http://schemas.openxmlformats.org/officeDocument/2006/relationships/hyperlink" Target="https://www.pwc.com/us/en/industries/financial-services/library/our-take/basel-iii-endgame.html" TargetMode="External"/><Relationship Id="rId39" Type="http://schemas.openxmlformats.org/officeDocument/2006/relationships/hyperlink" Target="https://financialservices.house.gov/news/documentsingle.aspx?DocumentID=410824" TargetMode="External"/><Relationship Id="rId21" Type="http://schemas.openxmlformats.org/officeDocument/2006/relationships/hyperlink" Target="https://www.bis.org/publ/bcbs_nl27.htm" TargetMode="External"/><Relationship Id="rId34" Type="http://schemas.openxmlformats.org/officeDocument/2006/relationships/hyperlink" Target="https://digital-strategy.ec.europa.eu/en/policies/regulatory-framework-ai" TargetMode="External"/><Relationship Id="rId42" Type="http://schemas.openxmlformats.org/officeDocument/2006/relationships/hyperlink" Target="https://www.fintechcouncil.org/advocacy/federal-afc-letter-in-support-for-the-unleashing-ai-innovation-in-financial-services-act" TargetMode="External"/><Relationship Id="rId47" Type="http://schemas.openxmlformats.org/officeDocument/2006/relationships/hyperlink" Target="https://arxiv.org/html/2505.13673v1" TargetMode="External"/><Relationship Id="rId50" Type="http://schemas.openxmlformats.org/officeDocument/2006/relationships/hyperlink" Target="https://www.faegredrinker.com/en/insights/publications/2025/6/ai-in-financial-services-uk-financial-regulator-sets-out-its-approach" TargetMode="External"/><Relationship Id="rId55" Type="http://schemas.openxmlformats.org/officeDocument/2006/relationships/hyperlink" Target="https://www.osfi-bsif.gc.ca/en/about-osfi/reports-publications/financial-industry-forum-artificial-intelligence-canadian-perspective-responsible-ai" TargetMode="External"/><Relationship Id="rId7" Type="http://schemas.openxmlformats.org/officeDocument/2006/relationships/hyperlink" Target="https://cimcon.com/use-cases/what-is-sr-11-7-guidance-on-model-risk-management/" TargetMode="External"/><Relationship Id="rId2" Type="http://schemas.openxmlformats.org/officeDocument/2006/relationships/styles" Target="styles.xml"/><Relationship Id="rId16" Type="http://schemas.openxmlformats.org/officeDocument/2006/relationships/hyperlink" Target="https://www.ibm.com/products/cloud/compliance/dora" TargetMode="External"/><Relationship Id="rId29" Type="http://schemas.openxmlformats.org/officeDocument/2006/relationships/hyperlink" Target="https://blogs.law.ox.ac.uk/oblb/blog-post/2024/12/regulating-ai-finance-how-eu-ai-act-shapes-financial-technologys-future" TargetMode="External"/><Relationship Id="rId11" Type="http://schemas.openxmlformats.org/officeDocument/2006/relationships/hyperlink" Target="https://krista.ai/how-to-comply-with-sr-11-7-guidance-on-model-risk-management/" TargetMode="External"/><Relationship Id="rId24" Type="http://schemas.openxmlformats.org/officeDocument/2006/relationships/hyperlink" Target="https://www.bundesbank.de/resource/blob/598256/d7d26167bceb18ee7c0c296902e42162/mL/2020-11-policy-dp-aiml-data.pdf" TargetMode="External"/><Relationship Id="rId32" Type="http://schemas.openxmlformats.org/officeDocument/2006/relationships/hyperlink" Target="https://www.congress.gov/crs-product/R48555" TargetMode="External"/><Relationship Id="rId37" Type="http://schemas.openxmlformats.org/officeDocument/2006/relationships/hyperlink" Target="https://www.treliant.com/wp-content/uploads/2023/12/Summary_Beyond-SR11-7-AI-Model-Risk-Management-Whitepaper_Treliant.pdf" TargetMode="External"/><Relationship Id="rId40" Type="http://schemas.openxmlformats.org/officeDocument/2006/relationships/hyperlink" Target="https://www.rounds.senate.gov/newsroom/press-releases/rounds-reintroduces-legislation-supporting-ai-innovation-in-financial-services" TargetMode="External"/><Relationship Id="rId45" Type="http://schemas.openxmlformats.org/officeDocument/2006/relationships/hyperlink" Target="https://www.govinfo.gov/content/pkg/CRPT-118hrpt905/html/CRPT-118hrpt905.htm" TargetMode="External"/><Relationship Id="rId53" Type="http://schemas.openxmlformats.org/officeDocument/2006/relationships/hyperlink" Target="https://www.mas.gov.sg/~/media/MAS/News%20and%20Publications/Monographs%20and%20Information%20Papers/FEAT%20Principles%20Final.pdf" TargetMode="External"/><Relationship Id="rId58" Type="http://schemas.openxmlformats.org/officeDocument/2006/relationships/hyperlink" Target="https://lucinity.com/blog/a-comparison-of-ai-regulations-by-region-the-eu-ai-act-vs-u-s-regulatory-guidance"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hyperlink" Target="https://www.bigpanda.io/blog/aiops-dora-compliance/" TargetMode="External"/><Relationship Id="rId14" Type="http://schemas.openxmlformats.org/officeDocument/2006/relationships/hyperlink" Target="https://www.informatica.com/resources/articles/digital-operational-resilience-act-compliance.html" TargetMode="External"/><Relationship Id="rId22" Type="http://schemas.openxmlformats.org/officeDocument/2006/relationships/hyperlink" Target="https://therisk.global/finance/navigating-risks-in-financial-services-key-insights-on-emerging-issues-in-artificial-intelligence-models/" TargetMode="External"/><Relationship Id="rId27" Type="http://schemas.openxmlformats.org/officeDocument/2006/relationships/hyperlink" Target="https://www.artificial-intelligence-act.com/" TargetMode="External"/><Relationship Id="rId30" Type="http://schemas.openxmlformats.org/officeDocument/2006/relationships/hyperlink" Target="https://www.shs-conferences.org/articles/shsconf/pdf/2024/24/shsconf_diges-grace2024_07006.pdf" TargetMode="External"/><Relationship Id="rId35" Type="http://schemas.openxmlformats.org/officeDocument/2006/relationships/hyperlink" Target="https://www.goodwinlaw.com/en/insights/publications/2024/08/alerts-practices-pif-key-points-for-financial-services-businesses" TargetMode="External"/><Relationship Id="rId43" Type="http://schemas.openxmlformats.org/officeDocument/2006/relationships/hyperlink" Target="https://www.congress.gov/bill/118th-congress/house-bill/7532/text" TargetMode="External"/><Relationship Id="rId48" Type="http://schemas.openxmlformats.org/officeDocument/2006/relationships/hyperlink" Target="https://www.fca.org.uk/firms/innovation/ai-approach" TargetMode="External"/><Relationship Id="rId56" Type="http://schemas.openxmlformats.org/officeDocument/2006/relationships/hyperlink" Target="https://www.klgates.com/Managing-Artificial-Intelligence-The-Monetary-Authority-of-Singapores-Recommendations-on-AI-Model-Risk-Management-1-22-2025" TargetMode="External"/><Relationship Id="rId8" Type="http://schemas.openxmlformats.org/officeDocument/2006/relationships/hyperlink" Target="https://www.federalreserve.gov/supervisionreg/srletters/sr1107.htm" TargetMode="External"/><Relationship Id="rId51" Type="http://schemas.openxmlformats.org/officeDocument/2006/relationships/hyperlink" Target="https://www.regulationtomorrow.com/eu/ai-regulation-in-financial-services-fca-developments-and-emerging-enforcement-risks/" TargetMode="External"/><Relationship Id="rId3" Type="http://schemas.openxmlformats.org/officeDocument/2006/relationships/settings" Target="settings.xml"/><Relationship Id="rId12" Type="http://schemas.openxmlformats.org/officeDocument/2006/relationships/hyperlink" Target="https://validmind.com/blog/model-risk-management-a-comprehensive-overview/" TargetMode="External"/><Relationship Id="rId17" Type="http://schemas.openxmlformats.org/officeDocument/2006/relationships/hyperlink" Target="https://www.veeam.com/blog/eu-digital-operational-resilience-act.html" TargetMode="External"/><Relationship Id="rId25" Type="http://schemas.openxmlformats.org/officeDocument/2006/relationships/hyperlink" Target="https://www.deloitte.com/us/en/services/consulting/articles/basel-final-rules-takeaways-highlights-us-banks.html" TargetMode="External"/><Relationship Id="rId33" Type="http://schemas.openxmlformats.org/officeDocument/2006/relationships/hyperlink" Target="https://www.aoshearman.com/en/insights/ao-shearman-on-tech/zooming-in-on-ai-ai-under-financial-regulations-in-the-us-part-2" TargetMode="External"/><Relationship Id="rId38" Type="http://schemas.openxmlformats.org/officeDocument/2006/relationships/hyperlink" Target="https://www.aoshearman.com/en/insights/ao-shearman-on-tech/zooming-in-5-ai-under-financial-regulations-in-the-us-eu-and-uk-a-comparative-assessment-part-1" TargetMode="External"/><Relationship Id="rId46" Type="http://schemas.openxmlformats.org/officeDocument/2006/relationships/hyperlink" Target="https://www.goodwinlaw.com/en/insights/publications/2025/06/alerts-finance-fs-the-evolving-landscape-of-ai-regulation" TargetMode="External"/><Relationship Id="rId59" Type="http://schemas.openxmlformats.org/officeDocument/2006/relationships/hyperlink" Target="https://www.solytics-partners.com/resources/blogs/strengthening-model-risk-management-adapting-to-new-regulations-and-emerging-risk" TargetMode="External"/><Relationship Id="rId20" Type="http://schemas.openxmlformats.org/officeDocument/2006/relationships/hyperlink" Target="https://verityai.co/blog/basel-iii-ai-operational-risk-management" TargetMode="External"/><Relationship Id="rId41" Type="http://schemas.openxmlformats.org/officeDocument/2006/relationships/hyperlink" Target="https://www.mintz.com/insights-center/viewpoints/54731/2025-08-08-bipartisan-ai-bill-reintroduced-senate-challenges-china" TargetMode="External"/><Relationship Id="rId54" Type="http://schemas.openxmlformats.org/officeDocument/2006/relationships/hyperlink" Target="https://www.bakermckenzie.com/-/media/files/insight/publications/2019/02/al_consultationonsingaporemodelai_feb2019.pdf" TargetMode="External"/><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eiopa.europa.eu/digital-operational-resilience-act-dora_en" TargetMode="External"/><Relationship Id="rId23" Type="http://schemas.openxmlformats.org/officeDocument/2006/relationships/hyperlink" Target="https://www.finextra.com/blogposting/29555/balancing-the-scales-ais-expanding-role-in-banking-and-the-new-frontiers-of-operational-risk" TargetMode="External"/><Relationship Id="rId28" Type="http://schemas.openxmlformats.org/officeDocument/2006/relationships/hyperlink" Target="https://www.squirepattonboggs.com/en/insights/publications/2025/03/the-eu-ai-act-and-respective-regulation-of-financial-services" TargetMode="External"/><Relationship Id="rId36" Type="http://schemas.openxmlformats.org/officeDocument/2006/relationships/hyperlink" Target="https://www.eiopa.europa.eu/publications/ai-act-and-its-impacts-european-financial-sector_en" TargetMode="External"/><Relationship Id="rId49" Type="http://schemas.openxmlformats.org/officeDocument/2006/relationships/hyperlink" Target="https://www.pinsentmasons.com/out-law/news/no-bespoke-rules-for-ai" TargetMode="External"/><Relationship Id="rId57" Type="http://schemas.openxmlformats.org/officeDocument/2006/relationships/hyperlink" Target="https://validmind.com/blog/ai-in-model-risk-management-financial-services/" TargetMode="External"/><Relationship Id="rId10" Type="http://schemas.openxmlformats.org/officeDocument/2006/relationships/hyperlink" Target="https://www.rmahq.org/the-rma-journal/in-the-next-rma-journal-digital-edition?page=106" TargetMode="External"/><Relationship Id="rId31" Type="http://schemas.openxmlformats.org/officeDocument/2006/relationships/hyperlink" Target="https://artificialintelligenceact.eu/high-level-summary/" TargetMode="External"/><Relationship Id="rId44" Type="http://schemas.openxmlformats.org/officeDocument/2006/relationships/hyperlink" Target="https://oversight.house.gov/release/comer-raskin-introduce-the-federal-ai-governance-and-transparency-act%EF%BF%BC%EF%BF%BC/" TargetMode="External"/><Relationship Id="rId52" Type="http://schemas.openxmlformats.org/officeDocument/2006/relationships/hyperlink" Target="https://www.diligent.com/resources/blog/Singapore-AI-regulation" TargetMode="External"/><Relationship Id="rId6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yperlink" Target="https://validmind.com/blog/sr-11-7-model-risk-management-compliance/"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21</Pages>
  <Words>8743</Words>
  <Characters>49838</Characters>
  <Application>Microsoft Office Word</Application>
  <DocSecurity>0</DocSecurity>
  <Lines>415</Lines>
  <Paragraphs>116</Paragraphs>
  <ScaleCrop>false</ScaleCrop>
  <Company/>
  <LinksUpToDate>false</LinksUpToDate>
  <CharactersWithSpaces>58465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Adams, Bob (Bip.Monticello)</cp:lastModifiedBy>
  <cp:revision>3</cp:revision>
  <dcterms:created xsi:type="dcterms:W3CDTF">2025-10-29T13:48:00Z</dcterms:created>
  <dcterms:modified xsi:type="dcterms:W3CDTF">2025-10-29T13:51:00Z</dcterms:modified>
</cp:coreProperties>
</file>